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13.png" ContentType="image/png"/>
  <Override PartName="/word/media/image50.png" ContentType="image/png"/>
  <Override PartName="/word/media/image40.png" ContentType="image/png"/>
  <Override PartName="/word/media/image4.png" ContentType="image/png"/>
  <Override PartName="/word/media/image34.png" ContentType="image/png"/>
  <Override PartName="/word/media/image41.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38.png" ContentType="image/png"/>
  <Override PartName="/word/media/image8.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475" w:after="720"/>
        <w:jc w:val="left"/>
        <w:rPr/>
      </w:pPr>
      <w:bookmarkStart w:id="0" w:name="bibliographic-entry"/>
      <w:r>
        <w:rPr/>
        <w:t>Bibliographic Entry</w:t>
      </w:r>
      <w:bookmarkEnd w:id="0"/>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 xml:space="preserve">Cartographic Visual Analysis </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spacing w:before="36" w:after="36"/>
              <w:jc w:val="left"/>
              <w:rPr/>
            </w:pPr>
            <w:r>
              <w:rPr>
                <w:i/>
              </w:rPr>
              <w:t>Department of Geography</w:t>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spacing w:before="0" w:after="200"/>
              <w:rPr/>
            </w:pPr>
            <w:r>
              <w:rPr/>
              <w:t>200</w:t>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Visualisation; Hexagonal Aggregation; Vector Tiles; WebGL</w:t>
            </w:r>
          </w:p>
        </w:tc>
      </w:tr>
    </w:tbl>
    <w:p>
      <w:pPr>
        <w:pStyle w:val="Heading1"/>
        <w:rPr/>
      </w:pPr>
      <w:bookmarkStart w:id="1" w:name="defining-big-data"/>
      <w:r>
        <w:rPr/>
        <w:t>1 Defining Big Data</w:t>
      </w:r>
      <w:bookmarkEnd w:id="1"/>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2" w:name="ontological-characteristics"/>
      <w:r>
        <w:rPr/>
        <w:t>1.1 Ontological characteristics</w:t>
      </w:r>
      <w:bookmarkEnd w:id="2"/>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“big” from “small”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1"/>
        </w:numPr>
        <w:rPr/>
      </w:pPr>
      <w:r>
        <w:rPr>
          <w:b/>
        </w:rPr>
        <w:t>Volume</w:t>
      </w:r>
      <w:r>
        <w:rPr/>
        <w:t xml:space="preserve"> — can be measured in storage requirements (terabytes or petabytes) or in number of records</w:t>
      </w:r>
    </w:p>
    <w:p>
      <w:pPr>
        <w:pStyle w:val="Compact"/>
        <w:numPr>
          <w:ilvl w:val="0"/>
          <w:numId w:val="1"/>
        </w:numPr>
        <w:rPr/>
      </w:pPr>
      <w:r>
        <w:rPr>
          <w:b/>
        </w:rPr>
        <w:t>Velocity</w:t>
      </w:r>
      <w:r>
        <w:rPr/>
        <w:t xml:space="preserve"> — 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rPr/>
      </w:pPr>
      <w:r>
        <w:rPr>
          <w:b/>
        </w:rPr>
        <w:t>Variety</w:t>
      </w:r>
      <w:r>
        <w:rPr/>
        <w:t xml:space="preserve"> — 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rPr/>
      </w:pPr>
      <w:r>
        <w:rPr>
          <w:b/>
        </w:rPr>
        <w:t>Exhaustivity</w:t>
      </w:r>
      <w:r>
        <w:rPr/>
        <w:t xml:space="preserve"> — the entire system is captured (</w:t>
      </w:r>
      <w:r>
        <w:rPr>
          <w:i/>
        </w:rPr>
        <w:t>n=all</w:t>
      </w:r>
      <w:r>
        <w:rPr/>
        <w:t>), rather than subset created by sampling</w:t>
      </w:r>
    </w:p>
    <w:p>
      <w:pPr>
        <w:pStyle w:val="Compact"/>
        <w:numPr>
          <w:ilvl w:val="0"/>
          <w:numId w:val="1"/>
        </w:numPr>
        <w:rPr/>
      </w:pPr>
      <w:r>
        <w:rPr>
          <w:b/>
        </w:rPr>
        <w:t>Resolution and indexicality</w:t>
      </w:r>
      <w:r>
        <w:rPr/>
        <w:t xml:space="preserve"> — data are fine-grained rather than being aggregated; data are uniquely indexical, which enables linking to other datasets</w:t>
      </w:r>
    </w:p>
    <w:p>
      <w:pPr>
        <w:pStyle w:val="Compact"/>
        <w:numPr>
          <w:ilvl w:val="0"/>
          <w:numId w:val="1"/>
        </w:numPr>
        <w:rPr/>
      </w:pPr>
      <w:r>
        <w:rPr>
          <w:b/>
        </w:rPr>
        <w:t>Relationality</w:t>
      </w:r>
      <w:r>
        <w:rPr/>
        <w:t xml:space="preserve"> — data contain common fields that enable the conjoining of different datasets</w:t>
      </w:r>
    </w:p>
    <w:p>
      <w:pPr>
        <w:pStyle w:val="Compact"/>
        <w:numPr>
          <w:ilvl w:val="0"/>
          <w:numId w:val="1"/>
        </w:numPr>
        <w:rPr/>
      </w:pPr>
      <w:r>
        <w:rPr>
          <w:b/>
        </w:rPr>
        <w:t>Extensionality and scalability</w:t>
      </w:r>
      <w:r>
        <w:rPr/>
        <w:t xml:space="preserve"> — data generation is flexible, it is possible to add or change fields easily, data can rapidly expand in size</w:t>
      </w:r>
    </w:p>
    <w:p>
      <w:pPr>
        <w:pStyle w:val="FirstParagraph"/>
        <w:rPr/>
      </w:pPr>
      <w:r>
        <w:rPr/>
        <w:t>In relation to these characteristics it is important to mention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visualisation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3" w:name="other-ways-of-understanding-big-data"/>
      <w:r>
        <w:rPr/>
        <w:t>1.2 Other ways of understanding big data</w:t>
      </w:r>
      <w:bookmarkEnd w:id="3"/>
    </w:p>
    <w:p>
      <w:pPr>
        <w:pStyle w:val="FirstParagraph"/>
        <w:rPr/>
      </w:pPr>
      <w:r>
        <w:rPr/>
        <w:t>In this section we briefly review the writing of authors that seek to define big data. The term itself was fist used in context of dealing with massive datasets in mid-1990s by John Mashey (Diebold et al., 2012), but the heaviest circulation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4" w:name="vs-and-keywords"/>
      <w:r>
        <w:rPr/>
        <w:t>1.2.1 Vs and keywords</w:t>
      </w:r>
      <w:bookmarkEnd w:id="4"/>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5" w:name="a-challenge-for-technical-infrastructure"/>
      <w:r>
        <w:rPr/>
        <w:t>1.2.2 A challenge for technical infrastructure</w:t>
      </w:r>
      <w:bookmarkEnd w:id="5"/>
    </w:p>
    <w:p>
      <w:pPr>
        <w:pStyle w:val="FirstParagraph"/>
        <w:rPr/>
      </w:pPr>
      <w:r>
        <w:rPr/>
        <w:t>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 — data center construction is steadily growing and is expected to almost double the 2016’s capacity in 2021 (statista.com (2018), Networking (2018), see also Figure 1).</w:t>
      </w:r>
    </w:p>
    <w:p>
      <w:pPr>
        <w:pStyle w:val="TextBody"/>
        <w:rPr/>
      </w:pPr>
      <w:r>
        <w:rPr/>
        <w:t>At the same time, new technologies emerge to address the issue — 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analytic engines, and in database design (a whole range of No-SQL databases as well as enablement of distributed processing in traditional databases).</w:t>
      </w:r>
      <w:r>
        <w:rPr>
          <w:rStyle w:val="FootnoteAnchor"/>
        </w:rPr>
        <w:footnoteReference w:id="6"/>
      </w:r>
      <w:r>
        <w:rPr/>
        <w:t xml:space="preserve"> Some attempts to summarize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Anchor"/>
        </w:rPr>
        <w:footnoteReference w:id="7"/>
      </w:r>
      <w:r>
        <w:rPr/>
        <w:t>. To illustrate the difference, compare the following two definitions. Fist by Gartner (2018a):</w:t>
      </w:r>
    </w:p>
    <w:p>
      <w:pPr>
        <w:pStyle w:val="TextBody"/>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6" w:name="showing-example-sources-and-quantities"/>
      <w:r>
        <w:rPr/>
        <w:t>1.2.3 Showing example sources and quantities</w:t>
      </w:r>
      <w:bookmarkEnd w:id="6"/>
    </w:p>
    <w:p>
      <w:pPr>
        <w:pStyle w:val="FirstParagraph"/>
        <w:rPr/>
      </w:pPr>
      <w:r>
        <w:rPr/>
        <w:t>A very common description of big data goes along the lines of “I will give you some numbers and you will get what I mean”. Such writing may not provide an exact understanding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 xml:space="preserve">Increasing the storage capacity itself does not speak of any qualitative change in what is stored — archives and libraries could be described as big piles of small data. Under certain circumstances, new quality can arise from increased quantity,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inline distT="0" distB="0" distL="114935" distR="114935">
            <wp:extent cx="3987800" cy="4319905"/>
            <wp:effectExtent l="0" t="0" r="0" b="0"/>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3987800" cy="4319905"/>
                    </a:xfrm>
                    <a:prstGeom prst="rect">
                      <a:avLst/>
                    </a:prstGeom>
                  </pic:spPr>
                </pic:pic>
              </a:graphicData>
            </a:graphic>
          </wp:inline>
        </w:drawing>
      </w:r>
    </w:p>
    <w:p>
      <w:pPr>
        <w:pStyle w:val="ImageCaption"/>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businesses, mainly in form of unrealized opportunities (McNulty, 2014). Another financial aspect is the cost of creating and maintaining big data itself — it is sound to remind that apart from all the promise, big data also have the potential to cost unlimited amounts of money (Fischer, 2015).</w:t>
      </w:r>
    </w:p>
    <w:p>
      <w:pPr>
        <w:pStyle w:val="TextBody"/>
        <w:rPr/>
      </w:pPr>
      <w:r>
        <w:rPr/>
        <w:t>Type of data source is another classification property. Authors distinct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6"/>
        </w:numPr>
        <w:rPr/>
      </w:pPr>
      <w:r>
        <w:rPr>
          <w:i/>
        </w:rPr>
        <w:t>Social Networks (human-sourced information)</w:t>
      </w:r>
      <w:r>
        <w:rPr/>
        <w:t xml:space="preserve"> — this information is the record of human experiences</w:t>
      </w:r>
    </w:p>
    <w:p>
      <w:pPr>
        <w:pStyle w:val="Compact"/>
        <w:numPr>
          <w:ilvl w:val="0"/>
          <w:numId w:val="37"/>
        </w:numPr>
        <w:rPr/>
      </w:pPr>
      <w:r>
        <w:rPr>
          <w:i/>
        </w:rPr>
        <w:t>Traditional Business systems (process-mediated data)</w:t>
      </w:r>
      <w:r>
        <w:rPr/>
        <w:t xml:space="preserve"> — these processes record and monitor business events of interest</w:t>
      </w:r>
    </w:p>
    <w:p>
      <w:pPr>
        <w:pStyle w:val="Compact"/>
        <w:numPr>
          <w:ilvl w:val="0"/>
          <w:numId w:val="38"/>
        </w:numPr>
        <w:rPr/>
      </w:pPr>
      <w:r>
        <w:rPr>
          <w:i/>
        </w:rPr>
        <w:t>IoT (machine-generated data)</w:t>
      </w:r>
      <w:r>
        <w:rPr>
          <w:rStyle w:val="FootnoteAnchor"/>
        </w:rPr>
        <w:footnoteReference w:id="11"/>
      </w:r>
      <w:r>
        <w:rPr/>
        <w:t xml:space="preserve"> — information is derived from sensors and machines used to measure and record the events and situations in the physical world</w:t>
      </w:r>
    </w:p>
    <w:p>
      <w:pPr>
        <w:pStyle w:val="FirstParagraph"/>
        <w:rPr/>
      </w:pPr>
      <w:r>
        <w:rPr/>
        <w:t>Data sources labeled as “big” differ from traditional sources such as surveys and official administrative statistics — Florescu et al. (2014) and Kitchin (2015) 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 (IDC, 2020).</w:t>
      </w:r>
    </w:p>
    <w:p>
      <w:pPr>
        <w:pStyle w:val="Heading3"/>
        <w:rPr/>
      </w:pPr>
      <w:bookmarkStart w:id="7" w:name="metaphors"/>
      <w:r>
        <w:rPr/>
        <w:t>1.2.4 Metaphors</w:t>
      </w:r>
      <w:bookmarkEnd w:id="7"/>
    </w:p>
    <w:p>
      <w:pPr>
        <w:pStyle w:val="FirstParagraph"/>
        <w:rPr/>
      </w:pPr>
      <w:r>
        <w:rPr/>
        <w:t>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The utilitarian mindset comparing digital world to excavation of valuable minerals in far from new. Though it is tempting to pursue this analogy further. For example, how to estimate the ratio of valuable information to “debris”, and shouldn’t such estimation be done before any data “mining” endeavour? The value of real-world analogies may be in provoking some common-sense reasoning often missing in visionary proclamations.</w:t>
      </w:r>
    </w:p>
    <w:p>
      <w:pPr>
        <w:pStyle w:val="TextBody"/>
        <w:rPr/>
      </w:pPr>
      <w:r>
        <w:rPr/>
        <w:t>For example, quoting Mayer-Schönberger &amp; Cukier (2013): “Data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connotations. For example Manyika et al. (2013) argue for unlocking data sources to become “liquid” in a sense of open and free-flowing, while, of course, keeping privacy concerns in mind — what is liquid is also susceptible to unwanted leaks.</w:t>
      </w:r>
    </w:p>
    <w:p>
      <w:pPr>
        <w:pStyle w:val="TextBody"/>
        <w:rPr/>
      </w:pPr>
      <w:r>
        <w:rPr/>
        <w:t xml:space="preserve">Big data have also been described as a </w:t>
      </w:r>
      <w:r>
        <w:rPr>
          <w:i/>
        </w:rPr>
        <w:t>meme</w:t>
      </w:r>
      <w:r>
        <w:rPr/>
        <w:t xml:space="preserve"> (a unit of cultural transmission) and as a </w:t>
      </w:r>
      <w:r>
        <w:rPr>
          <w:i/>
        </w:rPr>
        <w:t>paradigm</w:t>
      </w:r>
      <w:r>
        <w:rPr/>
        <w:t xml:space="preserve"> (a set of thought patterns), in both cases not without concerns. Gorman (2013) explores big data as a technologic meme: “[t]he reductionist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8" w:name="holistic-accounts"/>
      <w:r>
        <w:rPr/>
        <w:t>1.2.5 Holistic accounts</w:t>
      </w:r>
      <w:bookmarkEnd w:id="8"/>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39"/>
        </w:numPr>
        <w:rPr/>
      </w:pPr>
      <w:r>
        <w:rPr>
          <w:i/>
        </w:rPr>
        <w:t>data</w:t>
      </w:r>
      <w:r>
        <w:rPr/>
        <w:t xml:space="preserve"> — with various levels of temporal latency and structure</w:t>
      </w:r>
    </w:p>
    <w:p>
      <w:pPr>
        <w:pStyle w:val="Compact"/>
        <w:numPr>
          <w:ilvl w:val="0"/>
          <w:numId w:val="40"/>
        </w:numPr>
        <w:rPr/>
      </w:pPr>
      <w:r>
        <w:rPr>
          <w:i/>
        </w:rPr>
        <w:t>compute infrastructure</w:t>
      </w:r>
      <w:r>
        <w:rPr/>
        <w:t xml:space="preserve"> — batch or stream processing</w:t>
      </w:r>
    </w:p>
    <w:p>
      <w:pPr>
        <w:pStyle w:val="Compact"/>
        <w:numPr>
          <w:ilvl w:val="0"/>
          <w:numId w:val="41"/>
        </w:numPr>
        <w:rPr/>
      </w:pPr>
      <w:r>
        <w:rPr>
          <w:i/>
        </w:rPr>
        <w:t>storage infrastructure</w:t>
      </w:r>
      <w:r>
        <w:rPr/>
        <w:t xml:space="preserve"> — distributed, sql or nosql databases</w:t>
      </w:r>
    </w:p>
    <w:p>
      <w:pPr>
        <w:pStyle w:val="Compact"/>
        <w:numPr>
          <w:ilvl w:val="0"/>
          <w:numId w:val="42"/>
        </w:numPr>
        <w:rPr/>
      </w:pPr>
      <w:r>
        <w:rPr>
          <w:i/>
        </w:rPr>
        <w:t>analysis</w:t>
      </w:r>
      <w:r>
        <w:rPr/>
        <w:t xml:space="preserve"> — supervised, semisupervised, unsupervised or reenforcement machine learning</w:t>
      </w:r>
    </w:p>
    <w:p>
      <w:pPr>
        <w:pStyle w:val="Compact"/>
        <w:numPr>
          <w:ilvl w:val="0"/>
          <w:numId w:val="43"/>
        </w:numPr>
        <w:rPr/>
      </w:pPr>
      <w:r>
        <w:rPr>
          <w:i/>
        </w:rPr>
        <w:t>visualisation</w:t>
      </w:r>
      <w:r>
        <w:rPr/>
        <w:t xml:space="preserve"> — maps, abstract, interactive, real-time</w:t>
      </w:r>
    </w:p>
    <w:p>
      <w:pPr>
        <w:pStyle w:val="Compact"/>
        <w:numPr>
          <w:ilvl w:val="0"/>
          <w:numId w:val="44"/>
        </w:numPr>
        <w:rPr/>
      </w:pPr>
      <w:r>
        <w:rPr>
          <w:i/>
        </w:rPr>
        <w:t>privacy and security</w:t>
      </w:r>
      <w:r>
        <w:rPr/>
        <w:t xml:space="preserve"> — 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5"/>
        </w:numPr>
        <w:rPr/>
      </w:pPr>
      <w:r>
        <w:rPr>
          <w:i/>
        </w:rPr>
        <w:t>technology</w:t>
      </w:r>
      <w:r>
        <w:rPr/>
        <w:t xml:space="preserve"> — maximizing computation power and algorithmic accuracy to gather, analyze, link, and compare large data sets</w:t>
      </w:r>
    </w:p>
    <w:p>
      <w:pPr>
        <w:pStyle w:val="Compact"/>
        <w:numPr>
          <w:ilvl w:val="0"/>
          <w:numId w:val="46"/>
        </w:numPr>
        <w:rPr/>
      </w:pPr>
      <w:r>
        <w:rPr>
          <w:i/>
        </w:rPr>
        <w:t>analysis</w:t>
      </w:r>
      <w:r>
        <w:rPr/>
        <w:t xml:space="preserve"> — drawing on large data sets to identify patterns in order to make economic, social, technical, and legal claims</w:t>
      </w:r>
    </w:p>
    <w:p>
      <w:pPr>
        <w:pStyle w:val="Compact"/>
        <w:numPr>
          <w:ilvl w:val="0"/>
          <w:numId w:val="47"/>
        </w:numPr>
        <w:rPr/>
      </w:pPr>
      <w:r>
        <w:rPr>
          <w:i/>
        </w:rPr>
        <w:t>mythology</w:t>
      </w:r>
      <w:r>
        <w:rPr/>
        <w:t xml:space="preserve"> — 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 The process, the actor, the purpose and the context then determine what big data “is” in that given constellation.</w:t>
      </w:r>
    </w:p>
    <w:p>
      <w:pPr>
        <w:pStyle w:val="TextBody"/>
        <w:rPr/>
      </w:pPr>
      <w:r>
        <w:rPr/>
        <w:t>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“data traces” of online activity can still identify the person. Or, as Taleb (2012) realizes, if big data come with too many variables but with too little data per variable, it becomes nearly impossible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9" w:name="spatial-big-data"/>
      <w:r>
        <w:rPr/>
        <w:t>1.3 Spatial big data</w:t>
      </w:r>
      <w:bookmarkEnd w:id="9"/>
    </w:p>
    <w:p>
      <w:pPr>
        <w:pStyle w:val="FirstParagraph"/>
        <w:rPr/>
      </w:pPr>
      <w:r>
        <w:rPr/>
        <w:t xml:space="preserve">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 xml:space="preserve">Within geography, Kitchin (2013) highlights possible opportunities, challenges and risks posed by big data, encouraging geographers to engage in big data related case studies. He also lays some groundwork for definitions he later developed into ontological characteristics cited at the beginning of this chapter. González-Bailón (2013) understands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2"/>
      </w:r>
      <w:r>
        <w:rPr/>
        <w:t>,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48"/>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 — 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 — attributes.</w:t>
      </w:r>
    </w:p>
    <w:p>
      <w:pPr>
        <w:pStyle w:val="Normal"/>
        <w:numPr>
          <w:ilvl w:val="0"/>
          <w:numId w:val="49"/>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0"/>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1"/>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3"/>
      </w:r>
      <w:r>
        <w:rPr/>
        <w:t>. Incorporating flexible time changes into GIS data model remains a challenge for spatialization of big data.</w:t>
      </w:r>
    </w:p>
    <w:p>
      <w:pPr>
        <w:pStyle w:val="Normal"/>
        <w:numPr>
          <w:ilvl w:val="0"/>
          <w:numId w:val="52"/>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Anchor"/>
        </w:rPr>
        <w:footnoteReference w:id="14"/>
      </w:r>
      <w:r>
        <w:rPr/>
        <w:t>.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rPr/>
      </w:pPr>
      <w:r>
        <w:rPr/>
        <w:t>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“Big”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 xml:space="preserve">Representing the second group, Yao &amp; Li (2018) recognizes five categories of spatial big data (while admitting some intersections):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5"/>
      </w:r>
      <w:r>
        <w:rPr/>
        <w:t xml:space="preserve"> and queried for processing and application. Yao &amp; Li (2018) also provide an overview of other authors’ approaches to thinking about GIS in the era of big data.</w:t>
      </w:r>
    </w:p>
    <w:p>
      <w:pPr>
        <w:pStyle w:val="TextBody"/>
        <w:rPr/>
      </w:pPr>
      <w:r>
        <w:rPr/>
        <w:t xml:space="preserve">In context of transportation, Shekhar et al. (2012) distinguish between </w:t>
      </w:r>
      <w:r>
        <w:rPr>
          <w:i/>
        </w:rPr>
        <w:t>traditional</w:t>
      </w:r>
      <w:r>
        <w:rPr/>
        <w:t xml:space="preserve"> and </w:t>
      </w:r>
      <w:r>
        <w:rPr>
          <w:i/>
        </w:rPr>
        <w:t>emerging</w:t>
      </w:r>
      <w:r>
        <w:rPr/>
        <w:t xml:space="preserve"> spatial big data. “Traditional” stands for topological vector data representing transportation infrastructure, “emerging” represents sensor and positional data from large number of vehicles — 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6"/>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 — 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7"/>
      </w:r>
      <w:r>
        <w:rPr/>
        <w:t>.</w:t>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3"/>
        </w:numPr>
        <w:rPr/>
      </w:pPr>
      <w:r>
        <w:rPr>
          <w:i/>
        </w:rPr>
        <w:t>Gaussian</w:t>
      </w:r>
      <w:r>
        <w:rPr/>
        <w:t xml:space="preserve"> vs </w:t>
      </w:r>
      <w:r>
        <w:rPr>
          <w:i/>
        </w:rPr>
        <w:t>Paretian statistics</w:t>
      </w:r>
      <w:r>
        <w:rPr>
          <w:rStyle w:val="FootnoteAnchor"/>
        </w:rPr>
        <w:footnoteReference w:id="18"/>
      </w:r>
      <w:r>
        <w:rPr/>
        <w:t xml:space="preserve"> — 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4"/>
        </w:numPr>
        <w:rPr/>
      </w:pPr>
      <w:r>
        <w:rPr>
          <w:i/>
        </w:rPr>
        <w:t>Tobler’s law</w:t>
      </w:r>
      <w:r>
        <w:rPr/>
        <w:t xml:space="preserve"> vs </w:t>
      </w:r>
      <w:r>
        <w:rPr>
          <w:i/>
        </w:rPr>
        <w:t>scaling law</w:t>
      </w:r>
      <w:r>
        <w:rPr/>
        <w:t xml:space="preserve"> —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5"/>
        </w:numPr>
        <w:rPr/>
      </w:pPr>
      <w:r>
        <w:rPr>
          <w:i/>
        </w:rPr>
        <w:t>Euclidean</w:t>
      </w:r>
      <w:r>
        <w:rPr/>
        <w:t xml:space="preserve"> vs </w:t>
      </w:r>
      <w:r>
        <w:rPr>
          <w:i/>
        </w:rPr>
        <w:t>fractal (natural) geometry</w:t>
      </w:r>
      <w:r>
        <w:rPr/>
        <w:t xml:space="preserve"> — the first is needed “to measure things”, the second can help us to “develop new insights into structure and dynamics of geographic features”. (Jiang &amp; Brandt, 2016)</w:t>
      </w:r>
    </w:p>
    <w:p>
      <w:pPr>
        <w:pStyle w:val="Compact"/>
        <w:numPr>
          <w:ilvl w:val="0"/>
          <w:numId w:val="56"/>
        </w:numPr>
        <w:rPr/>
      </w:pPr>
      <w:r>
        <w:rPr>
          <w:i/>
        </w:rPr>
        <w:t>data quality</w:t>
      </w:r>
      <w:r>
        <w:rPr/>
        <w:t xml:space="preserve"> vs </w:t>
      </w:r>
      <w:r>
        <w:rPr>
          <w:i/>
        </w:rPr>
        <w:t>data character</w:t>
      </w:r>
      <w:r>
        <w:rPr/>
        <w:t xml:space="preserve"> — 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7"/>
        </w:numPr>
        <w:rPr/>
      </w:pPr>
      <w:r>
        <w:rPr>
          <w:i/>
        </w:rPr>
        <w:t>mechanistic thinking</w:t>
      </w:r>
      <w:r>
        <w:rPr/>
        <w:t xml:space="preserve"> vs </w:t>
      </w:r>
      <w:r>
        <w:rPr>
          <w:i/>
        </w:rPr>
        <w:t>organic thinking</w:t>
      </w:r>
      <w:r>
        <w:rPr/>
        <w:t xml:space="preserve"> — 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administrative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58"/>
        </w:numPr>
        <w:rPr/>
      </w:pPr>
      <w:r>
        <w:rPr>
          <w:i/>
        </w:rPr>
        <w:t>Extensionality &amp; Indexicality</w:t>
      </w:r>
      <w:r>
        <w:rPr/>
        <w:t xml:space="preserve"> —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59"/>
        </w:numPr>
        <w:rPr/>
      </w:pPr>
      <w:r>
        <w:rPr>
          <w:i/>
        </w:rPr>
        <w:t>Volume</w:t>
      </w:r>
      <w:r>
        <w:rPr/>
        <w:t xml:space="preserve"> —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pStyle w:val="Compact"/>
        <w:numPr>
          <w:ilvl w:val="0"/>
          <w:numId w:val="60"/>
        </w:numPr>
        <w:rPr/>
      </w:pPr>
      <w:r>
        <w:rPr>
          <w:i/>
        </w:rPr>
        <w:t>Scalability &amp; Resolution</w:t>
      </w:r>
      <w:r>
        <w:rPr/>
        <w:t xml:space="preserve"> —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1"/>
        </w:numPr>
        <w:rPr/>
      </w:pPr>
      <w:r>
        <w:rPr>
          <w:i/>
        </w:rPr>
        <w:t>Variety</w:t>
      </w:r>
      <w:r>
        <w:rPr/>
        <w:t xml:space="preserve"> —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2"/>
        </w:numPr>
        <w:rPr/>
      </w:pPr>
      <w:r>
        <w:rPr>
          <w:i/>
        </w:rPr>
        <w:t>Velocity &amp; Exhaustivity</w:t>
      </w:r>
      <w:r>
        <w:rPr/>
        <w:t xml:space="preserve"> —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rPr/>
      </w:pPr>
      <w:bookmarkStart w:id="10" w:name="Xf3ae6ae3b0dd5cefca806e84cab2e367dc26683"/>
      <w:r>
        <w:rPr/>
        <w:t>1.4 Assessing impacts, threats and opportunities</w:t>
      </w:r>
      <w:bookmarkEnd w:id="10"/>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Anchor"/>
        </w:rPr>
        <w:footnoteReference w:id="19"/>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 — 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summarized into the following points:</w:t>
      </w:r>
    </w:p>
    <w:p>
      <w:pPr>
        <w:pStyle w:val="Compact"/>
        <w:numPr>
          <w:ilvl w:val="0"/>
          <w:numId w:val="63"/>
        </w:numPr>
        <w:rPr/>
      </w:pPr>
      <w:r>
        <w:rPr/>
        <w:t>Reduced need for sampling with accessibility of n=all datasets</w:t>
      </w:r>
    </w:p>
    <w:p>
      <w:pPr>
        <w:pStyle w:val="Compact"/>
        <w:numPr>
          <w:ilvl w:val="0"/>
          <w:numId w:val="64"/>
        </w:numPr>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5"/>
        </w:numPr>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 —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complex systems</w:t>
      </w:r>
      <w:r>
        <w:rPr/>
        <w:t xml:space="preserve"> (West, 2013). Big global issues in ecology, pandemics or financial markets exhibit traits of complex systems</w:t>
      </w:r>
      <w:r>
        <w:rPr>
          <w:rStyle w:val="FootnoteAnchor"/>
        </w:rPr>
        <w:footnoteReference w:id="20"/>
      </w:r>
      <w:r>
        <w:rPr/>
        <w:t>. “The trouble is, we don’t have a unified, conceptual framework for addressing questions of complexity. We don’t know what kind of data we need, nor how much, or what critical questions we should be asking. ‘Big data’ without a ‘big theory’ to go with it loses much of its potency and usefulness, potentially generating new unintended consequences”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Anchor"/>
        </w:rPr>
        <w:footnoteReference w:id="21"/>
      </w:r>
      <w:r>
        <w:rPr/>
        <w:t>.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2"/>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 — 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 xml:space="preserve">Social media are a platform that apart from positive effects also created unexpected avenues for illicit actions, sometimes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nowadays. On the other hand, the number of researchers and practitioners willing to invest their time in big data related endeavours is relatively high</w:t>
      </w:r>
      <w:r>
        <w:rPr>
          <w:rStyle w:val="FootnoteAnchor"/>
        </w:rPr>
        <w:footnoteReference w:id="23"/>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rPr/>
      </w:pPr>
      <w:bookmarkStart w:id="11" w:name="making-sense-of-spatial-big-data"/>
      <w:r>
        <w:rPr/>
        <w:t>2 Making sense of spatial big data</w:t>
      </w:r>
      <w:bookmarkEnd w:id="11"/>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12" w:name="Xa6cf560d7f565cc1ad6c006c6f79779aca24302"/>
      <w:r>
        <w:rPr/>
        <w:t>2.1 Spatial big data classification: stations, events, and agents</w:t>
      </w:r>
      <w:bookmarkEnd w:id="12"/>
    </w:p>
    <w:p>
      <w:pPr>
        <w:pStyle w:val="FirstParagraph"/>
        <w:rPr/>
      </w:pPr>
      <w:r>
        <w:rPr/>
        <w:t xml:space="preserve">To look closer at the properties of spatial big data, we can recall the two modes of spatial big data generation mentioned in the previous chapter — either as </w:t>
      </w:r>
      <w:r>
        <w:rPr>
          <w:i/>
        </w:rPr>
        <w:t>big data with added spatial reference</w:t>
      </w:r>
      <w:r>
        <w:rPr/>
        <w:t xml:space="preserve"> or as </w:t>
      </w:r>
      <w:r>
        <w:rPr>
          <w:i/>
        </w:rPr>
        <w:t>spatial data with boosted attribute volume</w:t>
      </w:r>
      <w:r>
        <w:rPr/>
        <w:t>. The specifics of processing and visualisation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6"/>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7"/>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68"/>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4"/>
      </w:r>
      <w:r>
        <w:rPr/>
        <w:t>.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5"/>
      </w:r>
      <w:r>
        <w:rPr/>
        <w:t>.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“no data”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b/>
        </w:rPr>
        <w:t>Tab. 1</w:t>
      </w:r>
      <w:r>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6283" w:type="dxa"/>
        <w:jc w:val="left"/>
        <w:tblInd w:w="0" w:type="dxa"/>
        <w:tblLayout w:type="fixed"/>
        <w:tblCellMar>
          <w:top w:w="0" w:type="dxa"/>
          <w:left w:w="108" w:type="dxa"/>
          <w:bottom w:w="0" w:type="dxa"/>
          <w:right w:w="108" w:type="dxa"/>
        </w:tblCellMar>
        <w:tblLook w:firstRow="1"/>
      </w:tblPr>
      <w:tblGrid>
        <w:gridCol w:w="1256"/>
        <w:gridCol w:w="1257"/>
        <w:gridCol w:w="1256"/>
        <w:gridCol w:w="1257"/>
        <w:gridCol w:w="1257"/>
      </w:tblGrid>
      <w:tr>
        <w:trPr>
          <w:cnfStyle w:firstRow="1"/>
        </w:trPr>
        <w:tc>
          <w:tcPr>
            <w:tcW w:w="1256" w:type="dxa"/>
            <w:tcBorders>
              <w:bottom w:val="single" w:sz="6" w:space="0" w:color="000000"/>
            </w:tcBorders>
            <w:vAlign w:val="bottom"/>
          </w:tcPr>
          <w:p>
            <w:pPr>
              <w:pStyle w:val="Compact"/>
              <w:widowControl w:val="false"/>
              <w:spacing w:before="36" w:after="36"/>
              <w:jc w:val="left"/>
              <w:rPr/>
            </w:pPr>
            <w:r>
              <w:rPr>
                <w:b/>
              </w:rPr>
              <w:t>type of object</w:t>
            </w:r>
          </w:p>
        </w:tc>
        <w:tc>
          <w:tcPr>
            <w:tcW w:w="1257" w:type="dxa"/>
            <w:tcBorders>
              <w:bottom w:val="single" w:sz="6" w:space="0" w:color="000000"/>
            </w:tcBorders>
            <w:vAlign w:val="bottom"/>
          </w:tcPr>
          <w:p>
            <w:pPr>
              <w:pStyle w:val="Compact"/>
              <w:widowControl w:val="false"/>
              <w:spacing w:before="36" w:after="36"/>
              <w:jc w:val="left"/>
              <w:rPr/>
            </w:pPr>
            <w:r>
              <w:rPr>
                <w:b/>
              </w:rPr>
              <w:t>existence</w:t>
            </w:r>
          </w:p>
        </w:tc>
        <w:tc>
          <w:tcPr>
            <w:tcW w:w="1256" w:type="dxa"/>
            <w:tcBorders>
              <w:bottom w:val="single" w:sz="6" w:space="0" w:color="000000"/>
            </w:tcBorders>
            <w:vAlign w:val="bottom"/>
          </w:tcPr>
          <w:p>
            <w:pPr>
              <w:pStyle w:val="Compact"/>
              <w:widowControl w:val="false"/>
              <w:spacing w:before="36" w:after="36"/>
              <w:jc w:val="left"/>
              <w:rPr/>
            </w:pPr>
            <w:r>
              <w:rPr>
                <w:b/>
              </w:rPr>
              <w:t>attribute collection</w:t>
            </w:r>
          </w:p>
        </w:tc>
        <w:tc>
          <w:tcPr>
            <w:tcW w:w="1257" w:type="dxa"/>
            <w:tcBorders>
              <w:bottom w:val="single" w:sz="6" w:space="0" w:color="000000"/>
            </w:tcBorders>
            <w:vAlign w:val="bottom"/>
          </w:tcPr>
          <w:p>
            <w:pPr>
              <w:pStyle w:val="Compact"/>
              <w:widowControl w:val="false"/>
              <w:spacing w:before="36" w:after="36"/>
              <w:jc w:val="left"/>
              <w:rPr/>
            </w:pPr>
            <w:r>
              <w:rPr>
                <w:b/>
              </w:rPr>
              <w:t>location</w:t>
            </w:r>
          </w:p>
        </w:tc>
        <w:tc>
          <w:tcPr>
            <w:tcW w:w="1257" w:type="dxa"/>
            <w:tcBorders>
              <w:bottom w:val="single" w:sz="6" w:space="0" w:color="000000"/>
            </w:tcBorders>
            <w:vAlign w:val="bottom"/>
          </w:tcPr>
          <w:p>
            <w:pPr>
              <w:pStyle w:val="Compact"/>
              <w:widowControl w:val="false"/>
              <w:spacing w:before="36" w:after="36"/>
              <w:jc w:val="left"/>
              <w:rPr/>
            </w:pPr>
            <w:r>
              <w:rPr>
                <w:b/>
              </w:rPr>
              <w:t>spatial reference</w:t>
            </w:r>
          </w:p>
        </w:tc>
      </w:tr>
      <w:tr>
        <w:trPr/>
        <w:tc>
          <w:tcPr>
            <w:tcW w:w="1256" w:type="dxa"/>
            <w:tcBorders/>
          </w:tcPr>
          <w:p>
            <w:pPr>
              <w:pStyle w:val="Compact"/>
              <w:widowControl w:val="false"/>
              <w:spacing w:before="36" w:after="36"/>
              <w:jc w:val="left"/>
              <w:rPr/>
            </w:pPr>
            <w:r>
              <w:rPr/>
              <w:t>station</w:t>
            </w:r>
          </w:p>
        </w:tc>
        <w:tc>
          <w:tcPr>
            <w:tcW w:w="1257" w:type="dxa"/>
            <w:tcBorders/>
          </w:tcPr>
          <w:p>
            <w:pPr>
              <w:pStyle w:val="Compact"/>
              <w:widowControl w:val="false"/>
              <w:spacing w:before="36" w:after="36"/>
              <w:jc w:val="left"/>
              <w:rPr/>
            </w:pPr>
            <w:r>
              <w:rPr/>
              <w:t>continuous</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 line, polygon</w:t>
            </w:r>
          </w:p>
        </w:tc>
      </w:tr>
      <w:tr>
        <w:trPr/>
        <w:tc>
          <w:tcPr>
            <w:tcW w:w="1256" w:type="dxa"/>
            <w:tcBorders/>
          </w:tcPr>
          <w:p>
            <w:pPr>
              <w:pStyle w:val="Compact"/>
              <w:widowControl w:val="false"/>
              <w:spacing w:before="36" w:after="36"/>
              <w:jc w:val="left"/>
              <w:rPr/>
            </w:pPr>
            <w:r>
              <w:rPr/>
              <w:t>agent</w:t>
            </w:r>
          </w:p>
        </w:tc>
        <w:tc>
          <w:tcPr>
            <w:tcW w:w="1257" w:type="dxa"/>
            <w:tcBorders/>
          </w:tcPr>
          <w:p>
            <w:pPr>
              <w:pStyle w:val="Compact"/>
              <w:widowControl w:val="false"/>
              <w:spacing w:before="36" w:after="36"/>
              <w:jc w:val="left"/>
              <w:rPr/>
            </w:pPr>
            <w:r>
              <w:rPr/>
              <w:t>continuous or discrete</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dynamic</w:t>
            </w:r>
          </w:p>
        </w:tc>
        <w:tc>
          <w:tcPr>
            <w:tcW w:w="1257" w:type="dxa"/>
            <w:tcBorders/>
          </w:tcPr>
          <w:p>
            <w:pPr>
              <w:pStyle w:val="Compact"/>
              <w:widowControl w:val="false"/>
              <w:spacing w:before="36" w:after="36"/>
              <w:jc w:val="left"/>
              <w:rPr/>
            </w:pPr>
            <w:r>
              <w:rPr/>
              <w:t>point</w:t>
            </w:r>
          </w:p>
        </w:tc>
      </w:tr>
      <w:tr>
        <w:trPr/>
        <w:tc>
          <w:tcPr>
            <w:tcW w:w="1256" w:type="dxa"/>
            <w:tcBorders/>
          </w:tcPr>
          <w:p>
            <w:pPr>
              <w:pStyle w:val="Compact"/>
              <w:widowControl w:val="false"/>
              <w:spacing w:before="36" w:after="36"/>
              <w:jc w:val="left"/>
              <w:rPr/>
            </w:pPr>
            <w:r>
              <w:rPr/>
              <w:t>event</w:t>
            </w:r>
          </w:p>
        </w:tc>
        <w:tc>
          <w:tcPr>
            <w:tcW w:w="1257" w:type="dxa"/>
            <w:tcBorders/>
          </w:tcPr>
          <w:p>
            <w:pPr>
              <w:pStyle w:val="Compact"/>
              <w:widowControl w:val="false"/>
              <w:spacing w:before="36" w:after="36"/>
              <w:jc w:val="left"/>
              <w:rPr/>
            </w:pPr>
            <w:r>
              <w:rPr/>
              <w:t>discrete</w:t>
            </w:r>
          </w:p>
        </w:tc>
        <w:tc>
          <w:tcPr>
            <w:tcW w:w="1256" w:type="dxa"/>
            <w:tcBorders/>
          </w:tcPr>
          <w:p>
            <w:pPr>
              <w:pStyle w:val="Compact"/>
              <w:widowControl w:val="false"/>
              <w:spacing w:before="36" w:after="36"/>
              <w:jc w:val="left"/>
              <w:rPr/>
            </w:pPr>
            <w:r>
              <w:rPr/>
              <w:t>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w:t>
            </w:r>
          </w:p>
        </w:tc>
      </w:tr>
    </w:tbl>
    <w:p>
      <w:pPr>
        <w:pStyle w:val="TextBody"/>
        <w:rPr/>
      </w:pPr>
      <w:r>
        <w:rPr/>
        <w:t>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13" w:name="X5e68b1ecce874667990b9ffa74afb8d047a6fa2"/>
      <w:r>
        <w:rPr/>
        <w:t>2.2 Spatio-temporal knowledge discovery and visual analytics</w:t>
      </w:r>
      <w:bookmarkEnd w:id="13"/>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791845"/>
            <wp:effectExtent l="0" t="0" r="0" b="0"/>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791845"/>
                    </a:xfrm>
                    <a:prstGeom prst="rect">
                      <a:avLst/>
                    </a:prstGeom>
                  </pic:spPr>
                </pic:pic>
              </a:graphicData>
            </a:graphic>
          </wp:inline>
        </w:drawing>
      </w:r>
    </w:p>
    <w:p>
      <w:pPr>
        <w:pStyle w:val="ImageCaption"/>
        <w:rPr/>
      </w:pPr>
      <w:r>
        <w:rPr>
          <w:b/>
        </w:rPr>
        <w:t>Fig. 3</w:t>
      </w:r>
      <w:r>
        <w:rPr/>
        <w:t xml:space="preserve"> Human-machine continuum, knowledge discovery as the best from the both worlds. Note that the wording here could be different, for example Keim et al. (2008) list on the “machine” side: </w:t>
      </w:r>
      <w:r>
        <w:rPr>
          <w:i/>
        </w:rPr>
        <w:t>statistical analysis, data management, data mining, compression and filtering</w:t>
      </w:r>
      <w:r>
        <w:rPr/>
        <w:t xml:space="preserve">; on the “human”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visualisation</w:t>
      </w:r>
      <w:r>
        <w:rPr/>
        <w:t>.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14" w:name="spatio-temporal-relations"/>
      <w:r>
        <w:rPr/>
        <w:t>2.2.1 Spatio-temporal relations</w:t>
      </w:r>
      <w:bookmarkEnd w:id="14"/>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Normal"/>
        <w:rPr/>
      </w:pPr>
      <w:r>
        <w:rPr/>
        <w:drawing>
          <wp:inline distT="0" distB="0" distL="114935" distR="114935">
            <wp:extent cx="3987800" cy="2079625"/>
            <wp:effectExtent l="0" t="0" r="0" b="0"/>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understand the possibilities of cartographic visualisation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drawing>
          <wp:inline distT="0" distB="0" distL="114935" distR="114935">
            <wp:extent cx="3951605" cy="2874645"/>
            <wp:effectExtent l="0" t="0" r="0" b="0"/>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 5</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 6</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 7</w:t>
      </w:r>
      <w:r>
        <w:rPr/>
        <w:t xml:space="preserve"> Temporal relations between two time intervals. Adopted from Aigner et al. (2011)</w:t>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Normal"/>
        <w:rPr/>
      </w:pPr>
      <w:r>
        <w:rPr/>
        <w:drawing>
          <wp:inline distT="0" distB="0" distL="114935" distR="114935">
            <wp:extent cx="3987800" cy="1320165"/>
            <wp:effectExtent l="0" t="0" r="0" b="0"/>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 8</w:t>
      </w:r>
      <w:r>
        <w:rPr/>
        <w:t xml:space="preserve"> Illustrations of linear, cyclical and branching time conceptualizations.</w:t>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(Andrienko, Andrienko, Pelekis, &amp; Spaccapietra, 2008; Laube, Dennis, Forer, &amp; Walker, 2007).</w:t>
      </w:r>
    </w:p>
    <w:p>
      <w:pPr>
        <w:pStyle w:val="Heading3"/>
        <w:rPr/>
      </w:pPr>
      <w:bookmarkStart w:id="15" w:name="from-data-mining-to-visual-analytics"/>
      <w:r>
        <w:rPr/>
        <w:t>2.2.2 From data mining to visual analytics</w:t>
      </w:r>
      <w:bookmarkEnd w:id="15"/>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xml:space="preserve">. Support and confidence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(Figure 10).</w:t>
      </w:r>
    </w:p>
    <w:p>
      <w:pPr>
        <w:pStyle w:val="Normal"/>
        <w:rPr/>
      </w:pPr>
      <w:r>
        <w:rPr/>
        <w:drawing>
          <wp:inline distT="0" distB="0" distL="114935" distR="114935">
            <wp:extent cx="3987800" cy="2342515"/>
            <wp:effectExtent l="0" t="0" r="0" b="0"/>
            <wp:docPr id="10" name="Image9" descr="Fig. 10 The sense-making loop for visual analytics, adopted from Van Wijk (2005). User can interactively manipulate the visualis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s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342515"/>
                    </a:xfrm>
                    <a:prstGeom prst="rect">
                      <a:avLst/>
                    </a:prstGeom>
                  </pic:spPr>
                </pic:pic>
              </a:graphicData>
            </a:graphic>
          </wp:inline>
        </w:drawing>
      </w:r>
    </w:p>
    <w:p>
      <w:pPr>
        <w:pStyle w:val="ImageCaption"/>
        <w:rPr/>
      </w:pPr>
      <w:r>
        <w:rPr>
          <w:b/>
        </w:rPr>
        <w:t>Fig. 10</w:t>
      </w:r>
      <w:r>
        <w:rPr/>
        <w:t xml:space="preserve"> The sense-making loop for visual analytics, adopted from Van Wijk (2005). User can interactively manipulate the visualisation to gain understanding of both the data and the representation itself.</w:t>
      </w:r>
    </w:p>
    <w:p>
      <w:pPr>
        <w:pStyle w:val="TextBody"/>
        <w:rPr/>
      </w:pPr>
      <w:r>
        <w:rPr/>
        <w:t>Visual analytics extends the concept of visualisation: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69"/>
        </w:numPr>
        <w:rPr/>
      </w:pPr>
      <w:r>
        <w:rPr/>
        <w:t>Synthesize information and derive insight from massive, dynamic, ambiguous, and often conflicting data</w:t>
      </w:r>
    </w:p>
    <w:p>
      <w:pPr>
        <w:pStyle w:val="Compact"/>
        <w:numPr>
          <w:ilvl w:val="0"/>
          <w:numId w:val="70"/>
        </w:numPr>
        <w:rPr/>
      </w:pPr>
      <w:r>
        <w:rPr/>
        <w:t>Detect the expected and discover the unexpected</w:t>
      </w:r>
    </w:p>
    <w:p>
      <w:pPr>
        <w:pStyle w:val="Compact"/>
        <w:numPr>
          <w:ilvl w:val="0"/>
          <w:numId w:val="71"/>
        </w:numPr>
        <w:rPr/>
      </w:pPr>
      <w:r>
        <w:rPr/>
        <w:t>Provide timely, defensible, and understandable assessments</w:t>
      </w:r>
    </w:p>
    <w:p>
      <w:pPr>
        <w:pStyle w:val="Compact"/>
        <w:numPr>
          <w:ilvl w:val="0"/>
          <w:numId w:val="72"/>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16" w:name="the-role-of-cartography"/>
      <w:r>
        <w:rPr/>
        <w:t>2.3 The role of cartography</w:t>
      </w:r>
      <w:bookmarkEnd w:id="16"/>
    </w:p>
    <w:p>
      <w:pPr>
        <w:pStyle w:val="FirstParagraph"/>
        <w:rPr/>
      </w:pPr>
      <w:r>
        <w:rPr/>
        <w:t>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6"/>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17" w:name="Xf241b15d1dfcd3f01d97dc5505b901bb0a1566d"/>
      <w:r>
        <w:rPr/>
        <w:t>2.3.1 Maps for answering questions, maps for asking them</w:t>
      </w:r>
      <w:bookmarkEnd w:id="17"/>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3"/>
        </w:numPr>
        <w:rPr/>
      </w:pPr>
      <w:r>
        <w:rPr>
          <w:i/>
        </w:rPr>
        <w:t>elementary level</w:t>
      </w:r>
      <w:r>
        <w:rPr/>
        <w:t xml:space="preserve"> – questions introduced by a single element of the visualisation (What is the level of unemployment in this district?)</w:t>
      </w:r>
    </w:p>
    <w:p>
      <w:pPr>
        <w:pStyle w:val="Compact"/>
        <w:numPr>
          <w:ilvl w:val="0"/>
          <w:numId w:val="74"/>
        </w:numPr>
        <w:rPr/>
      </w:pPr>
      <w:r>
        <w:rPr>
          <w:i/>
        </w:rPr>
        <w:t>intermediate level</w:t>
      </w:r>
      <w:r>
        <w:rPr/>
        <w:t xml:space="preserve"> – questions introduced by a group of elements or categories in the visualisation (What are the five most populous districts in the region?)</w:t>
      </w:r>
    </w:p>
    <w:p>
      <w:pPr>
        <w:pStyle w:val="Compact"/>
        <w:numPr>
          <w:ilvl w:val="0"/>
          <w:numId w:val="75"/>
        </w:numPr>
        <w:rPr/>
      </w:pPr>
      <w:r>
        <w:rPr>
          <w:i/>
        </w:rPr>
        <w:t>overall or global level</w:t>
      </w:r>
      <w:r>
        <w:rPr/>
        <w:t xml:space="preserve"> – questions introduced by the whole visualisation (What are the spatio-temporal trends of traffic in this city?)</w:t>
      </w:r>
    </w:p>
    <w:p>
      <w:pPr>
        <w:pStyle w:val="FirstParagraph"/>
        <w:rPr/>
      </w:pPr>
      <w:r>
        <w:rPr/>
        <w:t>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 — an overreaching macroscope perspective unique to maps. But what else we can do with the overall patterns?</w:t>
      </w:r>
    </w:p>
    <w:p>
      <w:pPr>
        <w:pStyle w:val="TextBody"/>
        <w:rPr/>
      </w:pPr>
      <w:r>
        <w:rPr/>
        <w:t>Are there any examples of cartographic visualisation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 four features:</w:t>
      </w:r>
    </w:p>
    <w:p>
      <w:pPr>
        <w:pStyle w:val="Compact"/>
        <w:numPr>
          <w:ilvl w:val="0"/>
          <w:numId w:val="76"/>
        </w:numPr>
        <w:rPr/>
      </w:pPr>
      <w:r>
        <w:rPr/>
        <w:t>Placing data in appropriate context for assessing cause and effect</w:t>
      </w:r>
    </w:p>
    <w:p>
      <w:pPr>
        <w:pStyle w:val="Compact"/>
        <w:numPr>
          <w:ilvl w:val="0"/>
          <w:numId w:val="77"/>
        </w:numPr>
        <w:rPr/>
      </w:pPr>
      <w:r>
        <w:rPr/>
        <w:t>Making quantitative comparisons</w:t>
      </w:r>
    </w:p>
    <w:p>
      <w:pPr>
        <w:pStyle w:val="Compact"/>
        <w:numPr>
          <w:ilvl w:val="0"/>
          <w:numId w:val="78"/>
        </w:numPr>
        <w:rPr/>
      </w:pPr>
      <w:r>
        <w:rPr/>
        <w:t>Considering alternative explanations and contrary cases</w:t>
      </w:r>
    </w:p>
    <w:p>
      <w:pPr>
        <w:pStyle w:val="Compact"/>
        <w:numPr>
          <w:ilvl w:val="0"/>
          <w:numId w:val="79"/>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Modelling what kinds of tasks can be supported by the data is one of the first steps towards a successful visualisation.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0"/>
        </w:numPr>
        <w:rPr/>
      </w:pPr>
      <w:r>
        <w:rPr>
          <w:i/>
        </w:rPr>
        <w:t>Objects</w:t>
      </w:r>
      <w:r>
        <w:rPr/>
        <w:t>: when a task is specific enough, each object will be something that is represented in data.</w:t>
      </w:r>
    </w:p>
    <w:p>
      <w:pPr>
        <w:pStyle w:val="Compact"/>
        <w:numPr>
          <w:ilvl w:val="0"/>
          <w:numId w:val="81"/>
        </w:numPr>
        <w:rPr/>
      </w:pPr>
      <w:r>
        <w:rPr>
          <w:i/>
        </w:rPr>
        <w:t>Measures</w:t>
      </w:r>
      <w:r>
        <w:rPr/>
        <w:t>: In a sufficiently specific task, the measure is either an existing attribute in the dataset or one that can be directly computed from the data.</w:t>
      </w:r>
    </w:p>
    <w:p>
      <w:pPr>
        <w:pStyle w:val="Compact"/>
        <w:numPr>
          <w:ilvl w:val="0"/>
          <w:numId w:val="82"/>
        </w:numPr>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3"/>
        </w:numPr>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18" w:name="what-next-research-challenges"/>
      <w:r>
        <w:rPr/>
        <w:t>2.3.2 What next? Research challenges</w:t>
      </w:r>
      <w:bookmarkEnd w:id="18"/>
    </w:p>
    <w:p>
      <w:pPr>
        <w:pStyle w:val="FirstParagraph"/>
        <w:rPr/>
      </w:pPr>
      <w:r>
        <w:rPr/>
        <w:t>Researchers in cartography and geovisualisation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Anchor"/>
        </w:rPr>
        <w:footnoteReference w:id="27"/>
      </w:r>
      <w:r>
        <w:rPr/>
        <w:t xml:space="preserve">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4"/>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5"/>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pStyle w:val="Compact"/>
        <w:numPr>
          <w:ilvl w:val="0"/>
          <w:numId w:val="86"/>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7"/>
        </w:numPr>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visualisation methods that already exist. This is all good, but we should not assume that the cartography’s quest to </w:t>
      </w:r>
      <w:r>
        <w:rPr>
          <w:i/>
        </w:rPr>
        <w:t>extend</w:t>
      </w:r>
      <w:r>
        <w:rPr/>
        <w:t xml:space="preserve"> the arsenal of visualisation and interaction methods is completed. User interaction and increasing data load pose new challenges to cartographic visualisation,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rPr/>
      </w:pPr>
      <w:r>
        <w:rPr/>
        <w:t>Some of the classical cartographic techniques may be demanding to implement in the variable scale environment, but some other may provide solutions to visualisation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visualisation in digital maps.</w:t>
      </w:r>
    </w:p>
    <w:p>
      <w:pPr>
        <w:pStyle w:val="TextBody"/>
        <w:rPr/>
      </w:pPr>
      <w:r>
        <w:rPr>
          <w:i/>
        </w:rPr>
        <w:t>(c) Should cartography focus more on interaction design?</w:t>
      </w:r>
    </w:p>
    <w:p>
      <w:pPr>
        <w:pStyle w:val="TextBody"/>
        <w:rPr/>
      </w:pPr>
      <w:r>
        <w:rPr/>
        <w:t>Creating digital maps is not only about assigning appropriate visualisation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visualisations. As we have seen many times in history of innovation, progress is often hampered by mental roadblocks we don’t even realize we have.</w:t>
      </w:r>
    </w:p>
    <w:p>
      <w:pPr>
        <w:pStyle w:val="Heading3"/>
        <w:rPr/>
      </w:pPr>
      <w:bookmarkStart w:id="19" w:name="X2cfeb3941c09a5ef02d72a22a7f4ad64d394fc0"/>
      <w:r>
        <w:rPr/>
        <w:t>2.3.2 How next? Challenges in collaborative practice</w:t>
      </w:r>
      <w:bookmarkEnd w:id="19"/>
    </w:p>
    <w:p>
      <w:pPr>
        <w:pStyle w:val="FirstParagraph"/>
        <w:rPr/>
      </w:pPr>
      <w:r>
        <w:rPr/>
        <w:t>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visualisation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(Figure 11).</w:t>
      </w:r>
    </w:p>
    <w:p>
      <w:pPr>
        <w:pStyle w:val="Normal"/>
        <w:rPr/>
      </w:pPr>
      <w:r>
        <w:rPr/>
        <w:drawing>
          <wp:inline distT="0" distB="0" distL="114935" distR="114935">
            <wp:extent cx="3987800" cy="1394460"/>
            <wp:effectExtent l="0" t="0" r="0" b="0"/>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394460"/>
                    </a:xfrm>
                    <a:prstGeom prst="rect">
                      <a:avLst/>
                    </a:prstGeom>
                  </pic:spPr>
                </pic:pic>
              </a:graphicData>
            </a:graphic>
          </wp:inline>
        </w:drawing>
      </w:r>
    </w:p>
    <w:p>
      <w:pPr>
        <w:pStyle w:val="ImageCaption"/>
        <w:rPr/>
      </w:pPr>
      <w:r>
        <w:rPr>
          <w:b/>
        </w:rPr>
        <w:t>Fig. 11</w:t>
      </w:r>
      <w:r>
        <w:rPr/>
        <w:t xml:space="preserve"> Information visualization reference model. Adopted from Heer &amp; Agrawala (2008)</w:t>
      </w:r>
    </w:p>
    <w:p>
      <w:pPr>
        <w:pStyle w:val="TextBody"/>
        <w:rPr/>
      </w:pPr>
      <w:r>
        <w:rPr/>
        <w:t>In this model the collaboration points lie at the transitions between the stages and involve decisions on data management, visualisation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visualisation projects, they could arise for example in any web development project.</w:t>
      </w:r>
    </w:p>
    <w:p>
      <w:pPr>
        <w:pStyle w:val="Normal"/>
        <w:rPr/>
      </w:pPr>
      <w:r>
        <w:rPr/>
        <w:drawing>
          <wp:inline distT="0" distB="0" distL="114935" distR="114935">
            <wp:extent cx="3987800" cy="2261870"/>
            <wp:effectExtent l="0" t="0" r="0" b="0"/>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 12</w:t>
      </w:r>
      <w:r>
        <w:rPr/>
        <w:t xml:space="preserve"> Stages of data visualization development process. Adopted from Walny et al. (2019)</w:t>
      </w:r>
    </w:p>
    <w:p>
      <w:pPr>
        <w:pStyle w:val="TextBody"/>
        <w:rPr/>
      </w:pPr>
      <w:r>
        <w:rPr/>
        <w:t xml:space="preserve">Walny et al. (2019) formalize stages of data visualisation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88"/>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89"/>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0"/>
        </w:numPr>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1"/>
        </w:numPr>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2"/>
        </w:numPr>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3"/>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visualisation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Anchor"/>
        </w:rPr>
        <w:footnoteReference w:id="28"/>
      </w:r>
      <w:r>
        <w:rPr/>
        <w:t>.</w:t>
      </w:r>
    </w:p>
    <w:p>
      <w:pPr>
        <w:pStyle w:val="Heading3"/>
        <w:rPr/>
      </w:pPr>
      <w:bookmarkStart w:id="20" w:name="who-cares-building-user-engagement"/>
      <w:r>
        <w:rPr/>
        <w:t>2.3.3 Who cares? Building user engagement</w:t>
      </w:r>
      <w:bookmarkEnd w:id="20"/>
    </w:p>
    <w:p>
      <w:pPr>
        <w:pStyle w:val="FirstParagraph"/>
        <w:rPr/>
      </w:pPr>
      <w:r>
        <w:rPr/>
        <w:t>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visualisations.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 — exploring fictional worlds, gossips or conspiracy theories triggers pleasure just as well.</w:t>
      </w:r>
    </w:p>
    <w:p>
      <w:pPr>
        <w:pStyle w:val="Normal"/>
        <w:rPr/>
      </w:pPr>
      <w:r>
        <w:rPr/>
        <w:drawing>
          <wp:inline distT="0" distB="0" distL="114935" distR="114935">
            <wp:extent cx="3987800" cy="2044065"/>
            <wp:effectExtent l="0" t="0" r="0" b="0"/>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 13</w:t>
      </w:r>
      <w:r>
        <w:rPr/>
        <w:t xml:space="preserve"> Various ways of expanding our mental model or the world can trigger pleasure. Adopted from Stanová (2016)</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TextBody"/>
        <w:rPr/>
      </w:pPr>
      <w:r>
        <w:rPr/>
        <w:t>The thrills can arise also when crossing the “I don’t know” 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Normal"/>
        <w:rPr/>
      </w:pPr>
      <w:r>
        <w:rPr/>
        <w:drawing>
          <wp:inline distT="0" distB="0" distL="114935" distR="114935">
            <wp:extent cx="3987800" cy="1737995"/>
            <wp:effectExtent l="0" t="0" r="0" b="0"/>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 14</w:t>
      </w:r>
      <w:r>
        <w:rPr/>
        <w:t xml:space="preserve"> Pleasure points usually arise when ambiguity is triggered and when it is resolved. Adopted from Stanová (2016)</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rPr/>
      </w:pPr>
      <w:r>
        <w:rPr/>
        <w:t xml:space="preserve">Shaping the initial experience with an application is sometimes referred to as </w:t>
      </w:r>
      <w:r>
        <w:rPr>
          <w:i/>
        </w:rPr>
        <w:t>user onboarding</w:t>
      </w:r>
      <w:r>
        <w:rPr/>
        <w:t xml:space="preserve"> (Baur, 2017). The onboarding stage is far too often omitted in information visualisations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visualisations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visualisation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rPr/>
      </w:pPr>
      <w:bookmarkStart w:id="21" w:name="objections-and-responses"/>
      <w:r>
        <w:rPr/>
        <w:t>2.4 Objections and responses</w:t>
      </w:r>
      <w:bookmarkEnd w:id="21"/>
    </w:p>
    <w:p>
      <w:pPr>
        <w:pStyle w:val="FirstParagraph"/>
        <w:rPr/>
      </w:pPr>
      <w:r>
        <w:rPr/>
        <w:t>Data visualisation is seen as a great tool for achieving a desirable goal in literature, this thesis included. We can though imagine possible objections to some naive expectations about data visualisation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22" w:name="hiding-system-complexity"/>
      <w:r>
        <w:rPr/>
        <w:t>2.4.1 Hiding system complexity</w:t>
      </w:r>
      <w:bookmarkEnd w:id="22"/>
    </w:p>
    <w:p>
      <w:pPr>
        <w:pStyle w:val="FirstParagraph"/>
        <w:rPr/>
      </w:pPr>
      <w:r>
        <w:rPr/>
        <w:t xml:space="preserve">The first objection is related to modelling and visualizing complex systems. By reducing a complex system into comprehensible chunks, data visualisation encourages confident predictions and estimates that may lead to decisions and interventions with harmful effects. The datasets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rPr/>
      </w:pPr>
      <w:r>
        <w:rP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 — large-scale unpredictable and irregular events of massive consequence (Taleb, 2007).</w:t>
      </w:r>
    </w:p>
    <w:p>
      <w:pPr>
        <w:pStyle w:val="TextBody"/>
        <w:rPr/>
      </w:pPr>
      <w:r>
        <w:rPr/>
        <w:t>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users (Kale, Kay, &amp; Hullman, 2020, p. @correll2018value).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rPr/>
      </w:pPr>
      <w:r>
        <w:rPr/>
        <w:t xml:space="preserve">When it comes to reasoning about complex systems, visualisations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23" w:name="misinterpretation"/>
      <w:r>
        <w:rPr/>
        <w:t>2.4.2 Misinterpretation</w:t>
      </w:r>
      <w:bookmarkEnd w:id="23"/>
    </w:p>
    <w:p>
      <w:pPr>
        <w:pStyle w:val="FirstParagraph"/>
        <w:rPr/>
      </w:pPr>
      <w:r>
        <w:rPr/>
        <w:t>The second objection is related to the first one, but rather than looking at limits of models and visualisations,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To make the matters worse, experts who create visualisations are also susceptible to various biases. The design choices can drive results every bit as much as traditional “data-cleaning” choices. Hence visualization techniques contain embedded judgments (Bollier &amp; Firestone, 2010). Then there is the “curse of knowledge”: the difficulty in imagining what it is like for someone else not to know something you know (Pinker, 2015). On the side of visualisation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rPr/>
      </w:pPr>
      <w:bookmarkStart w:id="24" w:name="non-human-decision-makers"/>
      <w:r>
        <w:rPr/>
        <w:t>2.4.3 Non-human decision makers</w:t>
      </w:r>
      <w:bookmarkEnd w:id="24"/>
    </w:p>
    <w:p>
      <w:pPr>
        <w:pStyle w:val="FirstParagraph"/>
        <w:rPr/>
      </w:pPr>
      <w:r>
        <w:rPr/>
        <w:t>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 — 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rPr/>
      </w:pPr>
      <w:bookmarkStart w:id="25" w:name="mapping-spatial-big-data"/>
      <w:r>
        <w:rPr/>
        <w:t>3 Mapping spatial big data</w:t>
      </w:r>
      <w:bookmarkEnd w:id="25"/>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26" w:name="Xb7cdb4d2f54035a0fcbb1fabd15d30c8f316651"/>
      <w:r>
        <w:rPr/>
        <w:t>3.1 Visualisation challenges: spatial and temporal density</w:t>
      </w:r>
      <w:bookmarkEnd w:id="26"/>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visualisation stems from changes in data that happen through time. With accelerated update frequency two problems arise — data need to be processed in the “real time” 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rPr/>
      </w:pPr>
      <w:bookmarkStart w:id="27" w:name="design-constraints"/>
      <w:r>
        <w:rPr/>
        <w:t>3.1.1 Design constraints</w:t>
      </w:r>
      <w:bookmarkEnd w:id="27"/>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4"/>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6"/>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16"/>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visualisation then brings true unpredictability to the design process (called “blindfolded cartography” by Woodruff (2015)).</w:t>
      </w:r>
    </w:p>
    <w:p>
      <w:pPr>
        <w:pStyle w:val="FirstParagraph"/>
        <w:rPr/>
      </w:pPr>
      <w:r>
        <w:rPr/>
        <w:t>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28" w:name="data-processing-pipelines"/>
      <w:r>
        <w:rPr/>
        <w:t>3.1.2 Data processing pipelines</w:t>
      </w:r>
      <w:bookmarkEnd w:id="28"/>
    </w:p>
    <w:p>
      <w:pPr>
        <w:pStyle w:val="FirstParagraph"/>
        <w:rPr/>
      </w:pPr>
      <w:r>
        <w:rPr/>
        <w:t xml:space="preserve">Earlier in chapter 2 we presented the information visualisation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visualisation reference model is than no longer a description of the production process, rather it describes the data flow through the working system — 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visualisation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s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s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visualisation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visualisation methods are fairly immune to challenges of real-time data inflow (e.g. pie charts are not less readable when based on massive number of observations), but positional types of visualisation suffer from graphic density. Cluttered base layer, labels or unexpected interaction results can all make the matters worse. Let us look at some ways of addressing graphic density in digital maps.</w:t>
      </w:r>
    </w:p>
    <w:p>
      <w:pPr>
        <w:pStyle w:val="Heading2"/>
        <w:rPr/>
      </w:pPr>
      <w:bookmarkStart w:id="29" w:name="reducing-graphic-density-in-digital-maps"/>
      <w:r>
        <w:rPr/>
        <w:t>3.2 Reducing graphic density in digital maps</w:t>
      </w:r>
      <w:bookmarkEnd w:id="29"/>
    </w:p>
    <w:p>
      <w:pPr>
        <w:pStyle w:val="FirstParagraph"/>
        <w:rPr/>
      </w:pPr>
      <w:r>
        <w:rPr/>
        <w:t>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30" w:name="variants-of-spatial-aggregation"/>
      <w:r>
        <w:rPr/>
        <w:t>3.2.1 Variants of spatial aggregation</w:t>
      </w:r>
      <w:bookmarkEnd w:id="30"/>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dataset.</w:t>
      </w:r>
    </w:p>
    <w:p>
      <w:pPr>
        <w:pStyle w:val="Normal"/>
        <w:numPr>
          <w:ilvl w:val="0"/>
          <w:numId w:val="95"/>
        </w:numPr>
        <w:rPr/>
      </w:pPr>
      <w:r>
        <w:rPr/>
        <w:t>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96"/>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97"/>
        </w:numPr>
        <w:rPr/>
      </w:pPr>
      <w:r>
        <w:rPr/>
        <w:t>Aggregation defined by a different dataset is essentially a transformation of point data to arbitrary polygons in order to make a choropleth map. The granularity of the aggregating dataset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29"/>
      </w:r>
    </w:p>
    <w:p>
      <w:pPr>
        <w:pStyle w:val="TextBody"/>
        <w:rPr/>
      </w:pPr>
      <w:r>
        <w:rPr/>
        <w:t>From the point of big data visualisation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 (Agafonkin, Vladimir,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Vladimir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Vladimir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Vladimir (2016).</w:t>
      </w:r>
    </w:p>
    <w:p>
      <w:pPr>
        <w:pStyle w:val="TextBody"/>
        <w:rPr/>
      </w:pPr>
      <w:r>
        <w:rPr/>
        <w:t>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“no data” gaps can appear (Figure 19).</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visualisation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Dave, 2020) or by the ability to expand the cluster to see the values of its members (Mertel, Adam,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31" w:name="some-aspects-of-hexagonal-aggregation"/>
      <w:r>
        <w:rPr/>
        <w:t>3.2.2 Some aspects of hexagonal aggregation</w:t>
      </w:r>
      <w:bookmarkEnd w:id="31"/>
    </w:p>
    <w:p>
      <w:pPr>
        <w:pStyle w:val="FirstParagraph"/>
        <w:rPr/>
      </w:pPr>
      <w:r>
        <w:rPr/>
        <w:t>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a circle, the closer to the center the border points are (Figure 22).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(Figure 23). Centroids in the hexagonal mosaic form a triangular grid, so an individual hexagon has the same distance from all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 — edge neighbors of the same value in a rectangular grid may be perceived as members of the same region or as separate entities. In that matter, not having vertex neighbourhoods in the grid makes spatial patterns seem contiguous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 </w:t>
      </w:r>
      <w:r>
        <w:rPr>
          <w:i/>
        </w:rPr>
        <w:t>Hexbin aggregation using Leaflet with leaflet-d3</w:t>
      </w:r>
      <w:r>
        <w:rPr/>
        <w:t xml:space="preserve"> cover gradually smaller area from south to north especially on the left image — due to the distortion of Mercator projection).</w:t>
      </w:r>
    </w:p>
    <w:p>
      <w:pPr>
        <w:pStyle w:val="TextBody"/>
        <w:rPr/>
      </w:pPr>
      <w:r>
        <w:rP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 </w:t>
      </w:r>
      <w:r>
        <w:rPr>
          <w:i/>
        </w:rPr>
        <w:t>head/tail breaks</w:t>
      </w:r>
      <w:r>
        <w:rPr/>
        <w:t>(Jiang &amp; Ma (2018)), bayesian weighting (Correll &amp; Heer (2017)) or uncertainty-adjusted scales (Correll et al. (2018)). There is also a possibility to split cells to make them work similarly to pie or stacked charts (Lumley, Thomas (2015)).</w:t>
      </w:r>
    </w:p>
    <w:p>
      <w:pPr>
        <w:pStyle w:val="TextBody"/>
        <w:rPr/>
      </w:pPr>
      <w:r>
        <w:rPr/>
        <w:t xml:space="preserve">Explorer – TODO somewhere </w:t>
      </w:r>
      <w:hyperlink r:id="rId26">
        <w:r>
          <w:rPr>
            <w:rStyle w:val="InternetLink"/>
          </w:rPr>
          <w:t>https://tinlizzie.org/spatial/</w:t>
        </w:r>
      </w:hyperlink>
    </w:p>
    <w:p>
      <w:pPr>
        <w:pStyle w:val="TextBody"/>
        <w:rPr/>
      </w:pPr>
      <w:r>
        <w:rPr/>
        <w:t>Multi-parametric cartographic visualisation can also employ hexagonal grids, this time as an outline for placement of proportional symbols, compound charts or other visual artifacts. The shape of the hexagon allows for various kinds of proportional splitting and versatile symbol placement strategies (some experiments in chapter 4). Notice that using the hexagonal grid as a symbol placement outline disrupts the impression of a continuous surface the layer has when only hue is applied. Also it precludes applying masks to the hexagon layer to reduce the visual load and to provide geographic context (a.k.a. dasymetric method, see Fig)</w:t>
      </w:r>
    </w:p>
    <w:p>
      <w:pPr>
        <w:pStyle w:val="Normal"/>
        <w:rPr/>
      </w:pPr>
      <w:r>
        <w:rPr/>
        <w:drawing>
          <wp:inline distT="0" distB="0" distL="114935" distR="114935">
            <wp:extent cx="3987800" cy="2280285"/>
            <wp:effectExtent l="0" t="0" r="0" b="0"/>
            <wp:docPr id="24" name="Image23" descr="Fig. Dasymetric method, not applicable to most multivariate hexbin visualis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Dasymetric method, not applicable to most multivariate hexbin visualisation methods"/>
                    <pic:cNvPicPr>
                      <a:picLocks noChangeAspect="1" noChangeArrowheads="1"/>
                    </pic:cNvPicPr>
                  </pic:nvPicPr>
                  <pic:blipFill>
                    <a:blip r:embed="rId27"/>
                    <a:stretch>
                      <a:fillRect/>
                    </a:stretch>
                  </pic:blipFill>
                  <pic:spPr bwMode="auto">
                    <a:xfrm>
                      <a:off x="0" y="0"/>
                      <a:ext cx="3987800" cy="2280285"/>
                    </a:xfrm>
                    <a:prstGeom prst="rect">
                      <a:avLst/>
                    </a:prstGeom>
                  </pic:spPr>
                </pic:pic>
              </a:graphicData>
            </a:graphic>
          </wp:inline>
        </w:drawing>
      </w:r>
    </w:p>
    <w:p>
      <w:pPr>
        <w:pStyle w:val="ImageCaption"/>
        <w:rPr/>
      </w:pPr>
      <w:r>
        <w:rPr>
          <w:b/>
        </w:rPr>
        <w:t>Fig.</w:t>
      </w:r>
      <w:r>
        <w:rPr/>
        <w:t xml:space="preserve"> Dasymetric method, not applicable to most multivariate hexbin visualisation methods</w:t>
      </w:r>
    </w:p>
    <w:p>
      <w:pPr>
        <w:pStyle w:val="TextBody"/>
        <w:rPr/>
      </w:pPr>
      <w:r>
        <w:rPr/>
        <w:t>Then there are approaches that try to combine the density and attribute visualisation either by employing a bipolar color scale or by placing supplementary signs to the grid (see e.g. Mertel, Adam (2021)).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 (Weckmüller, Dominik (2019)).</w:t>
      </w:r>
    </w:p>
    <w:p>
      <w:pPr>
        <w:pStyle w:val="TextBody"/>
        <w:rPr/>
      </w:pPr>
      <w:r>
        <w:rPr/>
        <w:t>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(Sturges (1926), Scott (1979), Hyndman (1995)), though for visualisation purposes we usually prefer the finest grid that is technically possible simply because it yields most informative and aesthetically rewarding maps.</w:t>
      </w:r>
    </w:p>
    <w:p>
      <w:pPr>
        <w:pStyle w:val="TextBody"/>
        <w:rPr/>
      </w:pPr>
      <w:r>
        <w:rPr/>
        <w:t>There are many other interesting aspects to hexagonal grids that are not directly related to visualisation but may have some applicability in digital maps, for example coordinate systems, coordinate ranges or reflections withing the grid (for more Patel, Amit (2020)). Hexagonal grid is also often employed as a sample collection pattern and it apt for use with back-end tools to build approximate queries across datasets that are too large to permit full aggregation in real time (with bounded error and response time (Agarwal et al. (2013))) or by performing online aggragation — showing continuously updating aggregates and confidence intervals in response to a stream of samples (Hellerstein, Haas, &amp; Wang (1997), Fisher, Popov, Drucker, &amp; others (2012))</w:t>
      </w:r>
    </w:p>
    <w:p>
      <w:pPr>
        <w:pStyle w:val="Heading3"/>
        <w:rPr/>
      </w:pPr>
      <w:bookmarkStart w:id="32" w:name="symbology-fine-tuning"/>
      <w:r>
        <w:rPr/>
        <w:t>3.2.3 Symbology fine tuning</w:t>
      </w:r>
      <w:bookmarkEnd w:id="32"/>
    </w:p>
    <w:p>
      <w:pPr>
        <w:pStyle w:val="FirstParagraph"/>
        <w:rPr/>
      </w:pPr>
      <w:r>
        <w:rPr/>
        <w:t>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Congestion resolution in proportional symbols — (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Congestion resolution in proportional symbols — (a) reordering, (b) transparency, (c) scaling down, (d) displacement"/>
                    <pic:cNvPicPr>
                      <a:picLocks noChangeAspect="1" noChangeArrowheads="1"/>
                    </pic:cNvPicPr>
                  </pic:nvPicPr>
                  <pic:blipFill>
                    <a:blip r:embed="rId28"/>
                    <a:stretch>
                      <a:fillRect/>
                    </a:stretch>
                  </pic:blipFill>
                  <pic:spPr bwMode="auto">
                    <a:xfrm>
                      <a:off x="0" y="0"/>
                      <a:ext cx="3651250" cy="865505"/>
                    </a:xfrm>
                    <a:prstGeom prst="rect">
                      <a:avLst/>
                    </a:prstGeom>
                  </pic:spPr>
                </pic:pic>
              </a:graphicData>
            </a:graphic>
          </wp:inline>
        </w:drawing>
      </w:r>
    </w:p>
    <w:p>
      <w:pPr>
        <w:pStyle w:val="ImageCaption"/>
        <w:rPr/>
      </w:pPr>
      <w:r>
        <w:rPr>
          <w:b/>
        </w:rPr>
        <w:t>Fig.</w:t>
      </w:r>
      <w:r>
        <w:rPr/>
        <w:t xml:space="preserve"> Congestion resolution in proportional symbols — (a)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Anchor"/>
        </w:rPr>
        <w:footnoteReference w:id="30"/>
      </w:r>
      <w:r>
        <w:rPr/>
        <w:t>. But if we put the current implementations under close scrutiny, even playing with something as simple as symbol transpareny can yield some unexpected variants that highlight the limitations of how we currently render maps on the web (see fig).</w:t>
      </w:r>
    </w:p>
    <w:p>
      <w:pPr>
        <w:pStyle w:val="Normal"/>
        <w:rPr/>
      </w:pPr>
      <w:r>
        <w:rPr/>
        <w:drawing>
          <wp:inline distT="0" distB="0" distL="114935" distR="114935">
            <wp:extent cx="3743325" cy="2752090"/>
            <wp:effectExtent l="0" t="0" r="0" b="0"/>
            <wp:docPr id="26" name="Image25"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pic:cNvPicPr>
                      <a:picLocks noChangeAspect="1" noChangeArrowheads="1"/>
                    </pic:cNvPicPr>
                  </pic:nvPicPr>
                  <pic:blipFill>
                    <a:blip r:embed="rId29"/>
                    <a:stretch>
                      <a:fillRect/>
                    </a:stretch>
                  </pic:blipFill>
                  <pic:spPr bwMode="auto">
                    <a:xfrm>
                      <a:off x="0" y="0"/>
                      <a:ext cx="3743325" cy="2752090"/>
                    </a:xfrm>
                    <a:prstGeom prst="rect">
                      <a:avLst/>
                    </a:prstGeom>
                  </pic:spPr>
                </pic:pic>
              </a:graphicData>
            </a:graphic>
          </wp:inline>
        </w:drawing>
      </w:r>
    </w:p>
    <w:p>
      <w:pPr>
        <w:pStyle w:val="ImageCaption"/>
        <w:rPr/>
      </w:pPr>
      <w:r>
        <w:rPr>
          <w:b/>
        </w:rPr>
        <w:t>Fig.</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 — some displacement between the fill and the slightly transparent outline creates an interesting 3D effect. Though this is mainly a toy effect as it is highly dependent on the clean background — for the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rPr/>
      </w:pPr>
      <w:r>
        <w:rPr/>
        <w:t xml:space="preserve">The images in fig were created in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w:t>
      </w:r>
      <w:r>
        <w:rPr>
          <w:rStyle w:val="FootnoteAnchor"/>
        </w:rPr>
        <w:footnoteReference w:id="31"/>
      </w:r>
      <w:r>
        <w:rPr/>
        <w:t>.</w:t>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rPr/>
      </w:pPr>
      <w:r>
        <w:rPr/>
        <w:t>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rPr/>
      </w:pPr>
      <w:r>
        <w:rPr/>
        <w:t>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w:t>
      </w:r>
    </w:p>
    <w:p>
      <w:pPr>
        <w:pStyle w:val="Heading2"/>
        <w:rPr/>
      </w:pPr>
      <w:bookmarkStart w:id="33" w:name="rendering-spatial-data"/>
      <w:r>
        <w:rPr/>
        <w:t>3.3 Rendering Spatial Data</w:t>
      </w:r>
      <w:bookmarkEnd w:id="33"/>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rPr/>
      </w:pPr>
      <w:bookmarkStart w:id="34" w:name="svg-canvas-webgl"/>
      <w:r>
        <w:rPr/>
        <w:t>3.3.1 SVG, Canvas, WebGL</w:t>
      </w:r>
      <w:bookmarkEnd w:id="34"/>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2"/>
      </w:r>
      <w:r>
        <w:rPr/>
        <w:t>, constant graphic quality across devices, and smaller storage size. The straightforward XML syntax allows for easy integration with JavaScript and CSS. SVG files can be easily autogenerated, searched, compressed or indexed by web crawlers. SVG is an example of the “retained mode”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Colin (2020) reports that SVG charts can typically handle around 1,000 datapoints, Baur (2015) mentions a maximum limit of 10,000 static elements and 1,000 animated elements</w:t>
      </w:r>
      <w:r>
        <w:rPr>
          <w:rStyle w:val="FootnoteAnchor"/>
        </w:rPr>
        <w:footnoteReference w:id="33"/>
      </w:r>
      <w:r>
        <w:rPr/>
        <w:t>.</w:t>
      </w:r>
    </w:p>
    <w:p>
      <w:pPr>
        <w:pStyle w:val="TextBody"/>
        <w:rPr/>
      </w:pPr>
      <w:r>
        <w:rPr/>
        <w:t>There are several ways one can animate SVG graphics: CSS, a handful of JavaScript libraries or the native SMIL animation specification</w:t>
      </w:r>
      <w:r>
        <w:rPr>
          <w:rStyle w:val="FootnoteAnchor"/>
        </w:rPr>
        <w:footnoteReference w:id="34"/>
      </w:r>
      <w:r>
        <w:rPr/>
        <w:t>. However, SVG performance decreases quickly with growing number of items to display, which disqualifies it for visualizing live data streams when we don’t have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w:t>
      </w:r>
      <w:r>
        <w:rPr>
          <w:rStyle w:val="FootnoteAnchor"/>
        </w:rPr>
        <w:footnoteReference w:id="35"/>
      </w:r>
      <w:r>
        <w:rPr/>
        <w:t>. The canvas element exposes a bitmap surface where you can programatically draw rasterized images. It is an example of the “immediate mode” graphics model, were the scene is rendered directly based on procedural API and no object representation of graphics is stored in memory</w:t>
      </w:r>
      <w:r>
        <w:rPr>
          <w:rStyle w:val="FootnoteAnchor"/>
        </w:rPr>
        <w:footnoteReference w:id="36"/>
      </w:r>
      <w:r>
        <w:rPr/>
        <w:t>.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rPr/>
      </w:pPr>
      <w:r>
        <w:rPr/>
        <w:t>Compared to SVG, Canvas allows for more low-level control of the rendering process, the API is powerful but may be demanding on developer when it comes to defining objects and user interaction with rendered elements.</w:t>
      </w:r>
      <w:r>
        <w:rPr>
          <w:rStyle w:val="FootnoteAnchor"/>
        </w:rPr>
        <w:footnoteReference w:id="37"/>
      </w:r>
      <w:r>
        <w:rPr/>
        <w:t xml:space="preserve"> The animation performance for large number of objects is definitely a virtue compared to SVG, you can expect to render around 10,000 datapoints whilst maintaining smooth 60fps interactions (Eberhardt, Colin (2020)). In terms of mapping libraries, the canvas is a supported alternative option for rendering data overlays for example in Leaflet.</w:t>
      </w:r>
    </w:p>
    <w:p>
      <w:pPr>
        <w:pStyle w:val="TextBody"/>
        <w:rPr/>
      </w:pPr>
      <w:r>
        <w:rPr>
          <w:b/>
        </w:rPr>
        <w:t>WebGL</w:t>
      </w:r>
      <w:r>
        <w:rPr/>
        <w:t xml:space="preserve"> (Web Graphics Library) is a JavaScript API for rendering high-performance interactive 3D and 2D graphics within any compatible web browser without the use of plug-ins</w:t>
      </w:r>
      <w:r>
        <w:rPr>
          <w:rStyle w:val="FootnoteAnchor"/>
        </w:rPr>
        <w:footnoteReference w:id="38"/>
      </w:r>
      <w:r>
        <w:rPr/>
        <w:t>.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rPr/>
      </w:pPr>
      <w:r>
        <w:rPr/>
        <w:t>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Colin (2020)). There are wrapper JavaScript libraries that provide some object oriented features (three.js, pixi.js</w:t>
      </w:r>
      <w:r>
        <w:rPr>
          <w:rStyle w:val="FootnoteAnchor"/>
        </w:rPr>
        <w:footnoteReference w:id="39"/>
      </w:r>
      <w:r>
        <w:rPr/>
        <w:t>),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rPr/>
      </w:pPr>
      <w:bookmarkStart w:id="35" w:name="glsl-and-the-gpu-rendering-pipeline"/>
      <w:r>
        <w:rPr/>
        <w:t>3.3.2 GLSL and the GPU rendering pipeline</w:t>
      </w:r>
      <w:bookmarkEnd w:id="35"/>
    </w:p>
    <w:p>
      <w:pPr>
        <w:pStyle w:val="FirstParagraph"/>
        <w:rPr/>
      </w:pPr>
      <w:r>
        <w:rPr/>
        <w:t>As we have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needs to be created by the developer (Parisi (2012)).</w:t>
      </w:r>
    </w:p>
    <w:p>
      <w:pPr>
        <w:pStyle w:val="Normal"/>
        <w:rPr/>
      </w:pPr>
      <w:r>
        <w:rPr/>
        <w:drawing>
          <wp:inline distT="0" distB="0" distL="114935" distR="114935">
            <wp:extent cx="3987800" cy="2766060"/>
            <wp:effectExtent l="0" t="0" r="0" b="0"/>
            <wp:docPr id="27" name="Image26"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0"/>
                    <a:stretch>
                      <a:fillRect/>
                    </a:stretch>
                  </pic:blipFill>
                  <pic:spPr bwMode="auto">
                    <a:xfrm>
                      <a:off x="0" y="0"/>
                      <a:ext cx="3987800" cy="2766060"/>
                    </a:xfrm>
                    <a:prstGeom prst="rect">
                      <a:avLst/>
                    </a:prstGeom>
                  </pic:spPr>
                </pic:pic>
              </a:graphicData>
            </a:graphic>
          </wp:inline>
        </w:drawing>
      </w:r>
    </w:p>
    <w:p>
      <w:pPr>
        <w:pStyle w:val="ImageCaption"/>
        <w:rPr/>
      </w:pPr>
      <w:r>
        <w:rPr>
          <w:b/>
        </w:rPr>
        <w:t>Fig.</w:t>
      </w:r>
      <w:r>
        <w:rPr/>
        <w:t xml:space="preserve">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98"/>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99"/>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this section is owed to Parisi (2012), Agafonkin, Vladimir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Normal"/>
        <w:rPr/>
      </w:pPr>
      <w:r>
        <w:rPr/>
        <w:drawing>
          <wp:inline distT="0" distB="0" distL="114935" distR="114935">
            <wp:extent cx="3987800" cy="4572635"/>
            <wp:effectExtent l="0" t="0" r="0" b="0"/>
            <wp:docPr id="28" name="Image27" descr="Fig.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A simplified diagram of the GPU rendering pipeline, description in the text."/>
                    <pic:cNvPicPr>
                      <a:picLocks noChangeAspect="1" noChangeArrowheads="1"/>
                    </pic:cNvPicPr>
                  </pic:nvPicPr>
                  <pic:blipFill>
                    <a:blip r:embed="rId31"/>
                    <a:stretch>
                      <a:fillRect/>
                    </a:stretch>
                  </pic:blipFill>
                  <pic:spPr bwMode="auto">
                    <a:xfrm>
                      <a:off x="0" y="0"/>
                      <a:ext cx="3987800" cy="4572635"/>
                    </a:xfrm>
                    <a:prstGeom prst="rect">
                      <a:avLst/>
                    </a:prstGeom>
                  </pic:spPr>
                </pic:pic>
              </a:graphicData>
            </a:graphic>
          </wp:inline>
        </w:drawing>
      </w:r>
    </w:p>
    <w:p>
      <w:pPr>
        <w:pStyle w:val="ImageCaption"/>
        <w:rPr/>
      </w:pPr>
      <w:r>
        <w:rPr>
          <w:b/>
        </w:rPr>
        <w:t>Fig.</w:t>
      </w:r>
      <w:r>
        <w:rPr/>
        <w:t xml:space="preserve"> A simplified diagram of the GPU rendering pipeline, description in the text.</w:t>
      </w:r>
    </w:p>
    <w:p>
      <w:pPr>
        <w:pStyle w:val="Normal"/>
        <w:numPr>
          <w:ilvl w:val="0"/>
          <w:numId w:val="100"/>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40"/>
      </w:r>
      <w:r>
        <w:rPr/>
        <w:t>). GPU determines how the vertices are connected to form triangles, and feeds the rest of the pipeline.</w:t>
      </w:r>
    </w:p>
    <w:p>
      <w:pPr>
        <w:pStyle w:val="Normal"/>
        <w:numPr>
          <w:ilvl w:val="0"/>
          <w:numId w:val="101"/>
        </w:numPr>
        <w:rPr/>
      </w:pPr>
      <w:r>
        <w:rPr>
          <w:i/>
        </w:rPr>
        <w:t>Vertex Shading.</w:t>
      </w:r>
      <w:r>
        <w:rPr/>
        <w:t xml:space="preserve"> 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 — variables that hold specific properties of a vertex like position or normal. These variables are subject to matrix transformations; </w:t>
      </w:r>
      <w:r>
        <w:rPr>
          <w:i/>
        </w:rPr>
        <w:t>uniform</w:t>
      </w:r>
      <w:r>
        <w:rPr/>
        <w:t xml:space="preserve"> — variables that are the same for every vertex within the same rendering call (values that describe the whole object, pointers to textures); </w:t>
      </w:r>
      <w:r>
        <w:rPr>
          <w:i/>
        </w:rPr>
        <w:t>varying</w:t>
      </w:r>
      <w:r>
        <w:rPr/>
        <w:t xml:space="preserve"> — variables will later get passed to the fragment shaders, like color or transparency. These variables describe describe surfaces between vertices.</w:t>
      </w:r>
      <w:r>
        <w:rPr>
          <w:rStyle w:val="FootnoteAnchor"/>
        </w:rPr>
        <w:footnoteReference w:id="41"/>
      </w:r>
      <w:r>
        <w:rPr/>
        <w:t>.</w:t>
      </w:r>
    </w:p>
    <w:p>
      <w:pPr>
        <w:pStyle w:val="Normal"/>
        <w:numPr>
          <w:ilvl w:val="0"/>
          <w:numId w:val="102"/>
        </w:numPr>
        <w:rPr/>
      </w:pPr>
      <w:r>
        <w:rPr>
          <w:i/>
        </w:rPr>
        <w:t>Rasterization</w:t>
      </w:r>
      <w:r>
        <w:rPr/>
        <w:t>. Once the vertex shader has been run on each vertex of a triangle and the GPU knows where it will appear on screen, the triangle is rasterized – converted into a collection of individual fragments</w:t>
      </w:r>
      <w:r>
        <w:rPr>
          <w:rStyle w:val="FootnoteAnchor"/>
        </w:rPr>
        <w:footnoteReference w:id="42"/>
      </w:r>
      <w:r>
        <w:rPr/>
        <w:t>.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pStyle w:val="Normal"/>
        <w:numPr>
          <w:ilvl w:val="0"/>
          <w:numId w:val="103"/>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pStyle w:val="Normal"/>
        <w:numPr>
          <w:ilvl w:val="0"/>
          <w:numId w:val="104"/>
        </w:numPr>
        <w:rPr/>
      </w:pPr>
      <w:r>
        <w:rPr>
          <w:i/>
        </w:rPr>
        <w:t>Rendering target Output</w:t>
      </w:r>
      <w:r>
        <w:rPr/>
        <w:t>.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of fragment in parallel. Running in parallel means that the execution thread is “blind” to what other threads are doing. There is no way to check the results of execution in one thread form the other parallel thread or pass data between threads. Also there is no persitent memory that would store the previous computation results for fragments, so with changes the whole scene is rendered anew. Besides the abstraction required to code a general function that changes the result pixel by pixel depending on its position, the blind and memoryless constraints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43"/>
      </w:r>
      <w:r>
        <w:rPr/>
        <w:t>. Libraries like Three.js and Pixi.js make WebGL programming more accessible as a lot can be done in them using pure JavaScript. There is also a growing number of libraries supporting geospatial features we will describe in the next section.</w:t>
      </w:r>
    </w:p>
    <w:p>
      <w:pPr>
        <w:pStyle w:val="TextBody"/>
        <w:rPr/>
      </w:pPr>
      <w:r>
        <w:rPr/>
        <w:t xml:space="preserve">To previous description is a simplified account – for example, to complement one important aspect – the gpu rendering pipeline can also accept bitmaps as an input that is used mostly to generate textures during vertex shading. Bitmap swatches are applied repeatedly in a mosaic to create texture or to combine with values calculated from vertices (which is an example of using hatches in mapbox-gl see image below (TODO)). Also, bitmap icons (so called sprites) can be placed in the WebGL context either as map icons or text labels. We can conclude this section with a not that GPU-aided computation is likely to increase even beyond the field of computer graphics. Presently it is to employ (NVIDIA) GPUs in to preform heavy computations (see the </w:t>
      </w:r>
      <w:r>
        <w:rPr>
          <w:i/>
        </w:rPr>
        <w:t>Cuda</w:t>
      </w:r>
      <w:r>
        <w:rPr/>
        <w:t xml:space="preserve"> and </w:t>
      </w:r>
      <w:r>
        <w:rPr>
          <w:i/>
        </w:rPr>
        <w:t>TensorFlow</w:t>
      </w:r>
      <w:r>
        <w:rPr/>
        <w:t xml:space="preserve"> Python libraries).</w:t>
      </w:r>
    </w:p>
    <w:p>
      <w:pPr>
        <w:pStyle w:val="Heading3"/>
        <w:rPr/>
      </w:pPr>
      <w:bookmarkStart w:id="36" w:name="tour-of-vector-tiles"/>
      <w:r>
        <w:rPr/>
        <w:t>3.3.3 Tour of Vector Tiles</w:t>
      </w:r>
      <w:bookmarkEnd w:id="36"/>
    </w:p>
    <w:p>
      <w:pPr>
        <w:pStyle w:val="FirstParagraph"/>
        <w:rPr/>
      </w:pPr>
      <w:r>
        <w:rPr/>
        <w:t xml:space="preserve">How is WebGL relevant for cartographic visualisation? To answer this question, let us begin with the first stage in GPU rendering pipeline and a sub-question: how to efficiently load spatial data to the GPU? One of the options is a recent innovation, data-transfer format known as </w:t>
      </w:r>
      <w:r>
        <w:rPr>
          <w:i/>
        </w:rPr>
        <w:t>vector tiles</w:t>
      </w:r>
      <w:r>
        <w:rPr/>
        <w:t>. Vector tiles build on some concepts inherent to raster tiles that were until recently the main tool for serving maps online. In many aspects the two technologies are far apart, so let us first briefly describe the raster tile format for comparison.</w:t>
      </w:r>
    </w:p>
    <w:p>
      <w:pPr>
        <w:pStyle w:val="TextBody"/>
        <w:rPr/>
      </w:pPr>
      <w:r>
        <w:rPr>
          <w:i/>
        </w:rPr>
        <w:t>Raster tiles</w:t>
      </w:r>
    </w:p>
    <w:p>
      <w:pPr>
        <w:pStyle w:val="TextBody"/>
        <w:rPr/>
      </w:pPr>
      <w:r>
        <w:rPr/>
        <w:t>Traditionally, the large majority web maps was based on the raster tile technology. 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geographical area and scale. Each tile is assigned a quadratic key that determines its position in the scale hierarchy, tile coordinates and the zoom level.</w:t>
      </w:r>
      <w:r>
        <w:rPr>
          <w:rStyle w:val="FootnoteAnchor"/>
        </w:rPr>
        <w:footnoteReference w:id="44"/>
      </w:r>
      <w:r>
        <w:rPr/>
        <w:t>. Tiles are stored in a hierarchical file structure or a database, so that the server can select and serve the needed files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 “empty” tiles (e.g. single-color ocean areas). Furthermore, tiles for the feature-empty areas need to be generated for all zoom levels the map supports.</w:t>
      </w:r>
    </w:p>
    <w:p>
      <w:pPr>
        <w:pStyle w:val="TextBody"/>
        <w:rPr/>
      </w:pPr>
      <w:r>
        <w:rPr/>
        <w:t>There are several tools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is beyond cartographer’s control</w:t>
      </w:r>
      <w:r>
        <w:rPr>
          <w:rStyle w:val="FootnoteAnchor"/>
        </w:rPr>
        <w:footnoteReference w:id="45"/>
      </w:r>
      <w:r>
        <w:rPr/>
        <w:t>. Client libraries natively allow for SVG and Canvas overlays for custom data, the mapmaker’s task is to select a base map from the quite wide selection of providers</w:t>
      </w:r>
      <w:r>
        <w:rPr>
          <w:rStyle w:val="FootnoteAnchor"/>
        </w:rPr>
        <w:footnoteReference w:id="46"/>
      </w:r>
      <w:r>
        <w:rPr/>
        <w:t xml:space="preserve"> that fits the theme with the style and information content and doesn’t clash too much with the overlaid data.</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a much more efficient in storing structured data compared to human-readable formats like JSON, XML or CSV.</w:t>
      </w:r>
    </w:p>
    <w:p>
      <w:pPr>
        <w:pStyle w:val="TextBody"/>
        <w:rPr/>
      </w:pPr>
      <w:r>
        <w:rPr/>
        <w:t>The hierarchical structure, the addressing system, spatial extents and scale levels for common implementations of vector tiles are the same as for raster tiles described above. The geometries are encoded within the extent of individual tiles</w:t>
      </w:r>
      <w:r>
        <w:rPr>
          <w:rStyle w:val="FootnoteAnchor"/>
        </w:rPr>
        <w:footnoteReference w:id="47"/>
      </w:r>
      <w:r>
        <w:rPr/>
        <w:t>, the tile itself contains no information about the geographic bounds and projection. The individual tiles are then stored as protobuffs in a hierarchical folder structure for serving based on zoom levels</w:t>
      </w:r>
      <w:r>
        <w:rPr>
          <w:rStyle w:val="FootnoteAnchor"/>
        </w:rPr>
        <w:footnoteReference w:id="48"/>
      </w:r>
      <w:r>
        <w:rPr/>
        <w:t>.</w:t>
      </w:r>
    </w:p>
    <w:p>
      <w:pPr>
        <w:pStyle w:val="TextBody"/>
        <w:rPr/>
      </w:pPr>
      <w:r>
        <w:rPr/>
        <w:t>Unlike raster tiles, vector tile also encodes feature attributes. Internally, the tile is structured so that it contains one or more layers comprised of features with defined geometry type, geometry and attributes.</w:t>
      </w:r>
      <w:r>
        <w:rPr>
          <w:rStyle w:val="FootnoteAnchor"/>
        </w:rPr>
        <w:footnoteReference w:id="49"/>
      </w:r>
      <w:r>
        <w:rPr/>
        <w:t xml:space="preserve"> The protobuff format supports concatenation, which means we can easily add or combine layers from various tile sources.</w:t>
      </w:r>
    </w:p>
    <w:p>
      <w:pPr>
        <w:pStyle w:val="TextBody"/>
        <w:rPr/>
      </w:pPr>
      <w:r>
        <w:rPr/>
        <w:t>In contrast to raster tiles, rendering happens at the very end of the data exchange process between the server and the client. The client library is responsible for requesting the tiles, applying the style information and passing the instructions to the rendering pipeline on the client (geometry and styling information from tiles is fed to GPU in form of vertex buffers — see FIG, one rendering per tile per layer.).</w:t>
      </w:r>
    </w:p>
    <w:p>
      <w:pPr>
        <w:pStyle w:val="TextBody"/>
        <w:rPr/>
      </w:pPr>
      <w:r>
        <w:rPr/>
        <w:t>There are four general types of software that is used to manage various aspects of vector tiles:</w:t>
      </w:r>
      <w:r>
        <w:rPr>
          <w:rStyle w:val="FootnoteAnchor"/>
        </w:rPr>
        <w:footnoteReference w:id="50"/>
      </w:r>
    </w:p>
    <w:p>
      <w:pPr>
        <w:pStyle w:val="Compact"/>
        <w:numPr>
          <w:ilvl w:val="0"/>
          <w:numId w:val="105"/>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06"/>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07"/>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51"/>
      </w:r>
      <w:r>
        <w:rPr/>
        <w:t xml:space="preserve">. Examples: </w:t>
      </w:r>
      <w:r>
        <w:rPr>
          <w:i/>
        </w:rPr>
        <w:t>Mapbox Studio</w:t>
      </w:r>
      <w:r>
        <w:rPr/>
        <w:t xml:space="preserve">, </w:t>
      </w:r>
      <w:r>
        <w:rPr>
          <w:i/>
        </w:rPr>
        <w:t>Maputnik</w:t>
      </w:r>
    </w:p>
    <w:p>
      <w:pPr>
        <w:pStyle w:val="Compact"/>
        <w:numPr>
          <w:ilvl w:val="0"/>
          <w:numId w:val="108"/>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The properties of vector tiles bring several advantages and caveats for cartographic visualisation of big data.</w:t>
      </w:r>
    </w:p>
    <w:p>
      <w:pPr>
        <w:pStyle w:val="TextBody"/>
        <w:rPr/>
      </w:pPr>
      <w:r>
        <w:rPr/>
        <w:t>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as they are rendered only when requested by client, they are more suited to keeping the data on the server continuously updated.</w:t>
      </w:r>
    </w:p>
    <w:p>
      <w:pPr>
        <w:pStyle w:val="TextBody"/>
        <w:rPr/>
      </w:pPr>
      <w:r>
        <w:rPr/>
        <w:t>Being a vector file format, tiles can be styled upon request. Separating rendering from the data storage allows for creating many variant map styles based on the same global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rPr/>
      </w:pPr>
      <w:r>
        <w:rPr/>
        <w:t>Vector tiles can contain attribute data which elevates the format beyond mere display technology of raster tiles. With raw data included, several types of interactions are possible — from basic pop-up info over points of interest towards advanced querying and filtering for in-browser analysis. Apart from changing feature visibility and layer order is also the capability of data-driven styling that opens possibilities for thematic cartography. Once tiles are loaded, any user-induced style changes are executed on client without additional requests to the server, which may also support offline functionality.</w:t>
      </w:r>
    </w:p>
    <w:p>
      <w:pPr>
        <w:pStyle w:val="TextBody"/>
        <w:rPr/>
      </w:pPr>
      <w:r>
        <w:rPr/>
        <w:t>For cartographer, the combination of the vector tile format, WebGL-based rendering environment and the capabilities of the client mapping libraries opens several possibilities:</w:t>
      </w:r>
    </w:p>
    <w:p>
      <w:pPr>
        <w:pStyle w:val="Compact"/>
        <w:numPr>
          <w:ilvl w:val="0"/>
          <w:numId w:val="109"/>
        </w:numPr>
        <w:rPr/>
      </w:pPr>
      <w:r>
        <w:rPr/>
        <w:t>Vector tiles work well for both base maps and thematic interactive overlays. Furthermore, the thematic layer can be put anywhere in the layer stack, not only on the top.</w:t>
      </w:r>
    </w:p>
    <w:p>
      <w:pPr>
        <w:pStyle w:val="Compact"/>
        <w:numPr>
          <w:ilvl w:val="0"/>
          <w:numId w:val="110"/>
        </w:numPr>
        <w:rPr/>
      </w:pPr>
      <w:r>
        <w:rPr/>
        <w:t>Bitmap images can be easily incorporated to the style — either as polygon textures or point symbols. Data driven styling of these bitmaps is also possible to a certain degree</w:t>
      </w:r>
    </w:p>
    <w:p>
      <w:pPr>
        <w:pStyle w:val="Compact"/>
        <w:numPr>
          <w:ilvl w:val="0"/>
          <w:numId w:val="111"/>
        </w:numPr>
        <w:rPr/>
      </w:pPr>
      <w:r>
        <w:rPr/>
        <w:t>WebGL-based client libraries support additional user actions like camera tilt or orientation change</w:t>
      </w:r>
    </w:p>
    <w:p>
      <w:pPr>
        <w:pStyle w:val="Compact"/>
        <w:numPr>
          <w:ilvl w:val="0"/>
          <w:numId w:val="112"/>
        </w:numPr>
        <w:rPr/>
      </w:pPr>
      <w:r>
        <w:rPr/>
        <w:t>Continuous zoom is supported as the vector tiles are not fixed in size by raster resolution, so smooth impression can be achieved by scaling tiles between zoom steps. This also fixes the problem of fitting the mapped area to the html viewport reliably on various screen sizes and aspect ratios</w:t>
      </w:r>
    </w:p>
    <w:p>
      <w:pPr>
        <w:pStyle w:val="Compact"/>
        <w:numPr>
          <w:ilvl w:val="0"/>
          <w:numId w:val="113"/>
        </w:numPr>
        <w:rPr/>
      </w:pPr>
      <w:r>
        <w:rPr/>
        <w:t>the 3D features can be added, end the application can jump from 2D to 3D view without additional tools</w:t>
      </w:r>
    </w:p>
    <w:p>
      <w:pPr>
        <w:pStyle w:val="Compact"/>
        <w:numPr>
          <w:ilvl w:val="0"/>
          <w:numId w:val="114"/>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
                    <pic:cNvPicPr>
                      <a:picLocks noChangeAspect="1" noChangeArrowheads="1"/>
                    </pic:cNvPicPr>
                  </pic:nvPicPr>
                  <pic:blipFill>
                    <a:blip r:embed="rId32"/>
                    <a:stretch>
                      <a:fillRect/>
                    </a:stretch>
                  </pic:blipFill>
                  <pic:spPr bwMode="auto">
                    <a:xfrm>
                      <a:off x="0" y="0"/>
                      <a:ext cx="3987800" cy="1579245"/>
                    </a:xfrm>
                    <a:prstGeom prst="rect">
                      <a:avLst/>
                    </a:prstGeom>
                  </pic:spPr>
                </pic:pic>
              </a:graphicData>
            </a:graphic>
          </wp:inline>
        </w:drawing>
      </w:r>
    </w:p>
    <w:p>
      <w:pPr>
        <w:pStyle w:val="ImageCaption"/>
        <w:rPr/>
      </w:pPr>
      <w:r>
        <w:rPr>
          <w:b/>
        </w:rPr>
        <w:t>Fig.</w:t>
      </w:r>
      <w:r>
        <w:rPr/>
        <w:t xml:space="preserve">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rPr/>
      </w:pPr>
      <w:r>
        <w:rPr/>
        <w:t>There are also some disadvantages and risks connected to vector tile adoption. As we mentioned earlier, vector tiles rely on a schema that defines which attributes are included, their naming and value types, the zoom levels range at which layers should appear, etc. There is no universally applicable schema, tile layer intended for analysis would need a different solution than layer meant as a base map. Even for general base map layers, there is a number of schemas</w:t>
      </w:r>
      <w:r>
        <w:rPr>
          <w:rStyle w:val="FootnoteAnchor"/>
        </w:rPr>
        <w:footnoteReference w:id="52"/>
      </w:r>
      <w:r>
        <w:rPr/>
        <w:t xml:space="preserve"> that are not interchangeable – there are different priorities of layers, different classification of roads that appear at various zoom levels, etc. When designing style for a given schema, it will most likely not be portable to different schema.</w:t>
      </w:r>
    </w:p>
    <w:p>
      <w:pPr>
        <w:pStyle w:val="TextBody"/>
        <w:rPr/>
      </w:pPr>
      <w:r>
        <w:rPr/>
        <w:t xml:space="preserve">Tiling can preclude some types of analysis that need to consider features in adjacent tiles. Though, features that are split between the tiles can be reconstructed once rendered – this is useful for example when implementing an on hover highlight of polygon features. The rendering engine can select all bits that need to be highlighted across the displayed tiles. It needs though to be considered at the moment of tile layer creation (in mapbox infrastructure on needs to run tippecanoe with </w:t>
      </w:r>
      <w:r>
        <w:rPr>
          <w:i/>
        </w:rPr>
        <w:t>–generate-ids</w:t>
      </w:r>
      <w:r>
        <w:rPr/>
        <w:t xml:space="preserve"> options so that features can be identified across tiles by mapbox-gl). As with many situation around vector tiles a tight coordination across the whole tool chain is required.</w:t>
      </w:r>
    </w:p>
    <w:p>
      <w:pPr>
        <w:pStyle w:val="TextBody"/>
        <w:rPr/>
      </w:pPr>
      <w:r>
        <w:rPr/>
        <w:t>Even if we limit ourselves to web-based clients, there is a number of solutions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performance depends on power of the client hardware. Tile servers can impose some size limits on tile layers that, unlike raster tiles, can be bloated with the large number of attributes.</w:t>
      </w:r>
    </w:p>
    <w:p>
      <w:pPr>
        <w:pStyle w:val="TextBody"/>
        <w:rPr/>
      </w:pPr>
      <w:r>
        <w:rPr/>
        <w:t xml:space="preserve">Overall, we still seem to lack mature standardized tools for working with various aspects of vector tiles. Diverging schema flavors and software implementations that need to act in accordance across the tool-chain enlarges the risk of vendor lock-in. On the positive note, there are some efforts under way to standardize vector tile metadata, server API or filtering language within OGC (see </w:t>
      </w:r>
      <w:hyperlink r:id="rId33">
        <w:r>
          <w:rPr>
            <w:rStyle w:val="InternetLink"/>
          </w:rPr>
          <w:t>http://docs.opengeospatial.org/per/</w:t>
        </w:r>
      </w:hyperlink>
      <w:r>
        <w:rPr/>
        <w:t xml:space="preserve"> section </w:t>
      </w:r>
      <w:r>
        <w:rPr>
          <w:i/>
        </w:rPr>
        <w:t>OGC Vector Tiles Pilot</w:t>
      </w:r>
      <w:r>
        <w:rPr/>
        <w:t>)</w:t>
      </w:r>
    </w:p>
    <w:p>
      <w:pPr>
        <w:pStyle w:val="Heading2"/>
        <w:rPr/>
      </w:pPr>
      <w:bookmarkStart w:id="37" w:name="X32dc4eaa7c5e2c065bfaae3bbe74c5f182a1a21"/>
      <w:r>
        <w:rPr/>
        <w:t>3.5 Designing user interfaces for digital maps</w:t>
      </w:r>
      <w:bookmarkEnd w:id="37"/>
    </w:p>
    <w:p>
      <w:pPr>
        <w:pStyle w:val="FirstParagraph"/>
        <w:rPr/>
      </w:pPr>
      <w:r>
        <w:rPr/>
        <w:t>In map-based web applications, it is inevitable to design some controls for users to interact with the map. Thomas &amp; Cook (2005) remarks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often lacking.</w:t>
      </w:r>
    </w:p>
    <w:p>
      <w:pPr>
        <w:pStyle w:val="TextBody"/>
        <w:rPr/>
      </w:pPr>
      <w:r>
        <w:rPr/>
        <w:t>User interface (UI) controls contribute to the overall graphic density of the application as they share the same screen space with the map view and sometimes compete for it. Looking at UI controls through the prism of design constraints described in section 3.1.1, all three axes affect the UI, though the screen space is naturally the most significant factor (fig).</w:t>
      </w:r>
    </w:p>
    <w:p>
      <w:pPr>
        <w:pStyle w:val="Normal"/>
        <w:rPr/>
      </w:pPr>
      <w:r>
        <w:rPr/>
        <w:drawing>
          <wp:inline distT="0" distB="0" distL="114935" distR="114935">
            <wp:extent cx="3987800" cy="1296670"/>
            <wp:effectExtent l="0" t="0" r="0" b="0"/>
            <wp:docPr id="30" name="Image29" descr="Fig.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Screen space is the constraint with the greatest influence on the design of map controls."/>
                    <pic:cNvPicPr>
                      <a:picLocks noChangeAspect="1" noChangeArrowheads="1"/>
                    </pic:cNvPicPr>
                  </pic:nvPicPr>
                  <pic:blipFill>
                    <a:blip r:embed="rId34"/>
                    <a:stretch>
                      <a:fillRect/>
                    </a:stretch>
                  </pic:blipFill>
                  <pic:spPr bwMode="auto">
                    <a:xfrm>
                      <a:off x="0" y="0"/>
                      <a:ext cx="3987800" cy="1296670"/>
                    </a:xfrm>
                    <a:prstGeom prst="rect">
                      <a:avLst/>
                    </a:prstGeom>
                  </pic:spPr>
                </pic:pic>
              </a:graphicData>
            </a:graphic>
          </wp:inline>
        </w:drawing>
      </w:r>
    </w:p>
    <w:p>
      <w:pPr>
        <w:pStyle w:val="ImageCaption"/>
        <w:rPr/>
      </w:pPr>
      <w:r>
        <w:rPr>
          <w:b/>
        </w:rPr>
        <w:t>Fig.</w:t>
      </w:r>
      <w:r>
        <w:rPr/>
        <w:t xml:space="preserve"> Screen space is the constraint with the greatest influence on the design of map controls.</w:t>
      </w:r>
    </w:p>
    <w:p>
      <w:pPr>
        <w:pStyle w:val="TextBody"/>
        <w:rPr/>
      </w:pPr>
      <w:r>
        <w:rPr/>
        <w:t>The UI design for map-based applications needs to be informed by the spatial and temporal density of the visualized data sets.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 – what is possible to do with an object (e.g. doors can be opened). Signifiers notify users about affordances to prevent confusion (e.g. a “pull”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designers often rely on changing the cursor style when user hovers over some item, though this is not too effective on touch screen devices where hovering is not available. Having the interface littered with textual descriptions is deemed unsatisfactory, additional information is therefore often hidden and displayed as on-hover pop-up windows. Though there is no guarantee user will discover them. Another approach is to use an explanatory “wizard” at the application startup, that can be closed and revisited.</w:t>
      </w:r>
    </w:p>
    <w:p>
      <w:pPr>
        <w:pStyle w:val="TextBody"/>
        <w:rPr/>
      </w:pPr>
      <w:r>
        <w:rPr/>
        <w:t>One space-saving strategy for map-based applications is coupling the legends and other explanatory graphics that supplement the map with interactive controls. For example, an interface could have a color scheme legend coupled with interactive sliders to filter the categories in the map. This approach certainly saves some precious screen space compared to having two separate elements, on the other hand it poses a greater design challenge.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quality and affordances as in the large screen views. While there is a number well designed data exploration interfaces for small screens</w:t>
      </w:r>
      <w:r>
        <w:rPr>
          <w:rStyle w:val="FootnoteAnchor"/>
        </w:rPr>
        <w:footnoteReference w:id="53"/>
      </w:r>
      <w:r>
        <w:rPr/>
        <w:t>, we usually need to trade between information content and some user comfort.</w:t>
      </w:r>
    </w:p>
    <w:p>
      <w:pPr>
        <w:pStyle w:val="TextBody"/>
        <w:rPr/>
      </w:pPr>
      <w:r>
        <w:rPr/>
        <w:t>On large screens we expect to see all the interface controls at once. On small screens we can emulate this by providing a minified version of the interface. The controls are too small to be usable, but the user receives an initial global overview and can use touch gestures to zoom in and out. There are several issues with this approach, first, mobile screen have different aspect ratio, so unless we want to force the user to turn the device horizontally, some layout reordering in necessary. The second big issue is in distinguishing the zoom actions within the map context and within the context of the whole interface. It is more common to change the application layout for small screens, though this requires users to jump between the controls and the map, either by scrolling up and down or pulling some collapsible panel in and out. Though this is not optimal as well because we can not directly observe how the changes made using the controls affect the map view.</w:t>
      </w:r>
    </w:p>
    <w:p>
      <w:pPr>
        <w:pStyle w:val="TextBody"/>
        <w:rPr/>
      </w:pPr>
      <w:r>
        <w:rPr/>
        <w:t>There is a big gap in designing data interface research for small screens. The range of possible interaction modes on mobile devices (at least 12 types of screen gestures, gyroscope, etc.) seems to be largely unutilized. On touch devices it is important for the UI to provide feedback for user to be sure what kind of touch event was performed and whether it was registered (Willenskomer (2017)). Principles of motion design for increasing usability in the UI could as well be applied to interactions within the map field.</w:t>
      </w:r>
    </w:p>
    <w:p>
      <w:pPr>
        <w:pStyle w:val="Heading1"/>
        <w:rPr/>
      </w:pPr>
      <w:bookmarkStart w:id="38" w:name="case-study-urban-recommendation-system"/>
      <w:r>
        <w:rPr/>
        <w:t>4 Case Study: Urban recommendation system</w:t>
      </w:r>
      <w:bookmarkEnd w:id="38"/>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 xml:space="preserve">The first case study is a prototype of an </w:t>
      </w:r>
      <w:r>
        <w:rPr>
          <w:i/>
        </w:rPr>
        <w:t>urban recommendation system</w:t>
      </w:r>
      <w:r>
        <w:rPr/>
        <w:t xml:space="preserve"> — a map-based web application that could help dwelling seekers to identify areas in the city that best match their needs and expectations</w:t>
      </w:r>
      <w:r>
        <w:rPr>
          <w:rStyle w:val="FootnoteAnchor"/>
        </w:rPr>
        <w:footnoteReference w:id="54"/>
      </w:r>
      <w:r>
        <w:rPr/>
        <w:t>. Such system would allow users to assign weights to different spatial factors to calculate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5"/>
      </w:r>
      <w:r>
        <w:rPr/>
        <w:t>.</w:t>
      </w:r>
    </w:p>
    <w:p>
      <w:pPr>
        <w:pStyle w:val="TextBody"/>
        <w:rPr/>
      </w:pPr>
      <w:r>
        <w:rPr/>
        <w:t>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39" w:name="data-sources-and-transformations"/>
      <w:r>
        <w:rPr/>
        <w:t>4.1 Data sources and transformations</w:t>
      </w:r>
      <w:bookmarkEnd w:id="39"/>
    </w:p>
    <w:p>
      <w:pPr>
        <w:pStyle w:val="FirstParagraph"/>
        <w:rPr/>
      </w:pPr>
      <w:r>
        <w:rPr/>
        <w:t>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are supplemented with noise model, crime values and property prices. The majority of the source layers was sourced from the Open Street Map database. The input spatial layers were collected for the area of the city including a 5 Km buffer to prevent undesirable interpolation effects on the city borders. The following list describes what belongs under the mapped thematic categories in greater detail:</w:t>
      </w:r>
    </w:p>
    <w:p>
      <w:pPr>
        <w:pStyle w:val="Compact"/>
        <w:numPr>
          <w:ilvl w:val="0"/>
          <w:numId w:val="115"/>
        </w:numPr>
        <w:rPr/>
      </w:pPr>
      <w:r>
        <w:rPr/>
        <w:t>culture — theaters, cinemas, music clubs</w:t>
      </w:r>
    </w:p>
    <w:p>
      <w:pPr>
        <w:pStyle w:val="Compact"/>
        <w:numPr>
          <w:ilvl w:val="0"/>
          <w:numId w:val="116"/>
        </w:numPr>
        <w:rPr/>
      </w:pPr>
      <w:r>
        <w:rPr/>
        <w:t>health — hospitals and ambulances</w:t>
      </w:r>
    </w:p>
    <w:p>
      <w:pPr>
        <w:pStyle w:val="Compact"/>
        <w:numPr>
          <w:ilvl w:val="0"/>
          <w:numId w:val="117"/>
        </w:numPr>
        <w:rPr/>
      </w:pPr>
      <w:r>
        <w:rPr/>
        <w:t>church — places of worship for various religions</w:t>
      </w:r>
    </w:p>
    <w:p>
      <w:pPr>
        <w:pStyle w:val="Compact"/>
        <w:numPr>
          <w:ilvl w:val="0"/>
          <w:numId w:val="118"/>
        </w:numPr>
        <w:rPr/>
      </w:pPr>
      <w:r>
        <w:rPr/>
        <w:t>parks — parks, forests, green spaces</w:t>
      </w:r>
    </w:p>
    <w:p>
      <w:pPr>
        <w:pStyle w:val="Compact"/>
        <w:numPr>
          <w:ilvl w:val="0"/>
          <w:numId w:val="119"/>
        </w:numPr>
        <w:rPr/>
      </w:pPr>
      <w:r>
        <w:rPr/>
        <w:t>social — cafés, pubs, restaurants</w:t>
      </w:r>
    </w:p>
    <w:p>
      <w:pPr>
        <w:pStyle w:val="Compact"/>
        <w:numPr>
          <w:ilvl w:val="0"/>
          <w:numId w:val="120"/>
        </w:numPr>
        <w:rPr/>
      </w:pPr>
      <w:r>
        <w:rPr/>
        <w:t>sport — sport grounds, gyms</w:t>
      </w:r>
    </w:p>
    <w:p>
      <w:pPr>
        <w:pStyle w:val="Compact"/>
        <w:numPr>
          <w:ilvl w:val="0"/>
          <w:numId w:val="121"/>
        </w:numPr>
        <w:rPr/>
      </w:pPr>
      <w:r>
        <w:rPr/>
        <w:t>transport — public transport stops</w:t>
      </w:r>
    </w:p>
    <w:p>
      <w:pPr>
        <w:pStyle w:val="FirstParagraph"/>
        <w:rPr/>
      </w:pPr>
      <w:r>
        <w:rPr/>
        <w:t>These layers were source from the OSM and mostly have point spatial reference, with the exception of parks that are defined as polygons. Some complementary layers from different sources were also included:</w:t>
      </w:r>
    </w:p>
    <w:p>
      <w:pPr>
        <w:pStyle w:val="Compact"/>
        <w:numPr>
          <w:ilvl w:val="0"/>
          <w:numId w:val="122"/>
        </w:numPr>
        <w:rPr/>
      </w:pPr>
      <w:r>
        <w:rPr/>
        <w:t>crime (source: project Mapa kriminality</w:t>
      </w:r>
      <w:r>
        <w:rPr>
          <w:rStyle w:val="FootnoteAnchor"/>
        </w:rPr>
        <w:footnoteReference w:id="56"/>
      </w:r>
      <w:r>
        <w:rPr/>
        <w:t>)</w:t>
      </w:r>
    </w:p>
    <w:p>
      <w:pPr>
        <w:pStyle w:val="Compact"/>
        <w:numPr>
          <w:ilvl w:val="0"/>
          <w:numId w:val="123"/>
        </w:numPr>
        <w:rPr/>
      </w:pPr>
      <w:r>
        <w:rPr/>
        <w:t>affordability (source: Brno municipal office)</w:t>
      </w:r>
    </w:p>
    <w:p>
      <w:pPr>
        <w:pStyle w:val="Compact"/>
        <w:numPr>
          <w:ilvl w:val="0"/>
          <w:numId w:val="124"/>
        </w:numPr>
        <w:rPr/>
      </w:pPr>
      <w:r>
        <w:rPr/>
        <w:t>noise (source: Brno municipal office</w:t>
      </w:r>
      <w:r>
        <w:rPr>
          <w:rStyle w:val="FootnoteAnchor"/>
        </w:rPr>
        <w:footnoteReference w:id="57"/>
      </w:r>
      <w:r>
        <w:rPr/>
        <w:t>)</w:t>
      </w:r>
    </w:p>
    <w:p>
      <w:pPr>
        <w:pStyle w:val="FirstParagraph"/>
        <w:rPr/>
      </w:pPr>
      <w:r>
        <w:rPr/>
        <w:t>The spatial detail of these additional layer is coarser than in with the previous group, especially in case of crime statistics that were interpolated from a district-level polygon layer.</w:t>
      </w:r>
    </w:p>
    <w:p>
      <w:pPr>
        <w:pStyle w:val="TextBody"/>
        <w:rPr/>
      </w:pPr>
      <w:r>
        <w:rPr/>
        <w:t>The data preparation process then continued as follows (see also fig for illustration). To harmonize the varying sources into one spatial layer that would allow for dynamic re-classification, we created a point grid covering the area of Brno in 100 m intervals. The input layers from the OSM were used to create distance surfaces using IDW interpolation in the QGIS desktop tool. Data from these interpolations where then combined with existing zonal layers (noise, crime, property prices) to generate input for the attribute table of the point grid. This was done using the standard spatial join feature in QGIS. In the resulting point grid, each point contains an attribute containing a distance from the given point to the nearest facility of interest, or the given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Data preparation process illustrated."/>
                    <pic:cNvPicPr>
                      <a:picLocks noChangeAspect="1" noChangeArrowheads="1"/>
                    </pic:cNvPicPr>
                  </pic:nvPicPr>
                  <pic:blipFill>
                    <a:blip r:embed="rId35"/>
                    <a:stretch>
                      <a:fillRect/>
                    </a:stretch>
                  </pic:blipFill>
                  <pic:spPr bwMode="auto">
                    <a:xfrm>
                      <a:off x="0" y="0"/>
                      <a:ext cx="3987800" cy="2501900"/>
                    </a:xfrm>
                    <a:prstGeom prst="rect">
                      <a:avLst/>
                    </a:prstGeom>
                  </pic:spPr>
                </pic:pic>
              </a:graphicData>
            </a:graphic>
          </wp:inline>
        </w:drawing>
      </w:r>
    </w:p>
    <w:p>
      <w:pPr>
        <w:pStyle w:val="ImageCaption"/>
        <w:rPr/>
      </w:pPr>
      <w:r>
        <w:rPr>
          <w:b/>
        </w:rPr>
        <w:t>Fig.</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Mabbox infrastructure (500 KB per tile).</w:t>
      </w:r>
    </w:p>
    <w:p>
      <w:pPr>
        <w:pStyle w:val="TextBody"/>
        <w:rPr/>
      </w:pPr>
      <w:r>
        <w:rPr/>
        <w:t>## 4.2 Application architecture</w:t>
      </w:r>
    </w:p>
    <w:p>
      <w:pPr>
        <w:pStyle w:val="TextBody"/>
        <w:rPr/>
      </w:pPr>
      <w:r>
        <w:rPr/>
        <w:t>The vector tile set with the hexagon layer is stored on the Mapbox tile server, the client application uses the mapbox-gl library to render tiles in the WebGl context. The front-end user interface was build using React and Redux libraries.</w:t>
      </w:r>
    </w:p>
    <w:p>
      <w:pPr>
        <w:pStyle w:val="TextBody"/>
        <w:rPr/>
      </w:pPr>
      <w:r>
        <w:rPr/>
        <w:t xml:space="preserve">Let us take a short aside on technologies not mentioned yet. </w:t>
      </w:r>
      <w:r>
        <w:rPr>
          <w:i/>
        </w:rPr>
        <w:t>React</w:t>
      </w:r>
      <w:r>
        <w:rPr/>
        <w:t xml:space="preserve"> is a user interface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8"/>
      </w:r>
      <w:r>
        <w:rPr/>
        <w:t>.</w:t>
      </w:r>
    </w:p>
    <w:p>
      <w:pPr>
        <w:pStyle w:val="TextBody"/>
        <w:rPr/>
      </w:pPr>
      <w:r>
        <w:rPr/>
        <w:t>When developing map-based web applications the ability to define modules that react to changes in shared state has many benefits</w:t>
      </w:r>
      <w:r>
        <w:rPr>
          <w:rStyle w:val="FootnoteAnchor"/>
        </w:rPr>
        <w:footnoteReference w:id="59"/>
      </w:r>
      <w:r>
        <w:rPr/>
        <w:t>.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global state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40" w:name="cartographic-decisions"/>
      <w:r>
        <w:rPr/>
        <w:t>4.3 Cartographic decisions</w:t>
      </w:r>
      <w:bookmarkEnd w:id="40"/>
    </w:p>
    <w:p>
      <w:pPr>
        <w:pStyle w:val="FirstParagraph"/>
        <w:rPr/>
      </w:pPr>
      <w:r>
        <w:rPr/>
        <w:t>To showcase the potential use of hexagonal grids to visualize complex datasets, we designed two visualisation modes for the resulting application.</w:t>
      </w:r>
    </w:p>
    <w:p>
      <w:pPr>
        <w:pStyle w:val="TextBody"/>
        <w:rPr/>
      </w:pPr>
      <w:r>
        <w:rPr>
          <w:i/>
        </w:rPr>
        <w:t>Mode 1</w:t>
      </w:r>
    </w:p>
    <w:p>
      <w:pPr>
        <w:pStyle w:val="TextBody"/>
        <w:rPr/>
      </w:pPr>
      <w:r>
        <w:rPr/>
        <w:t>The first mode uses a diverging color scheme to visualize the “livability score” within a hexagonal grid layer. The score is a weighted average of proximity values of selected topics. As the values for all topics span from zero to one, the compound layer is also limited by these bounds. The variance of the average values in the compound layer depends on the number of topics included in the calculation. When viewing just a single topic, the variance tends to span across the whole continuum. However, with inclusion of more layers the resulting variance shrinks to concentrate around the central value (see fig). This is due to the fact that the individual topics have dissimilar spatial patterns, so the highs and lows tend to cancel each other out. Lowering topic weights further contributes to flattening of its variance.</w:t>
      </w:r>
    </w:p>
    <w:p>
      <w:pPr>
        <w:pStyle w:val="Normal"/>
        <w:rPr/>
      </w:pPr>
      <w:r>
        <w:rPr/>
        <w:drawing>
          <wp:inline distT="0" distB="0" distL="114935" distR="114935">
            <wp:extent cx="3987800" cy="1148715"/>
            <wp:effectExtent l="0" t="0" r="0" b="0"/>
            <wp:docPr id="32" name="Image31" descr="Fig.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6"/>
                    <a:stretch>
                      <a:fillRect/>
                    </a:stretch>
                  </pic:blipFill>
                  <pic:spPr bwMode="auto">
                    <a:xfrm>
                      <a:off x="0" y="0"/>
                      <a:ext cx="3987800" cy="1148715"/>
                    </a:xfrm>
                    <a:prstGeom prst="rect">
                      <a:avLst/>
                    </a:prstGeom>
                  </pic:spPr>
                </pic:pic>
              </a:graphicData>
            </a:graphic>
          </wp:inline>
        </w:drawing>
      </w:r>
    </w:p>
    <w:p>
      <w:pPr>
        <w:pStyle w:val="ImageCaption"/>
        <w:rPr/>
      </w:pPr>
      <w:r>
        <w:rPr>
          <w:b/>
        </w:rPr>
        <w:t>Fig.</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needed to sufficiently stand out from the background, which is even more crutial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of course with implications to the overall legibility.</w:t>
      </w:r>
    </w:p>
    <w:p>
      <w:pPr>
        <w:pStyle w:val="TextBody"/>
        <w:rPr/>
      </w:pPr>
      <w:r>
        <w:rPr/>
        <w:t>The supplementary layers not only ease the orientation in the area, but also help to understand some spatial patterns, e.g. the dependence of the noise or public transport layers on the road network is obvious. Also the development potential in the area south to the center is apparent on several variants of the map.</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rPr/>
      </w:pPr>
      <w:r>
        <w:rPr>
          <w:i/>
        </w:rPr>
        <w:t>Mode 2</w:t>
      </w:r>
    </w:p>
    <w:p>
      <w:pPr>
        <w:pStyle w:val="TextBody"/>
        <w:rPr/>
      </w:pPr>
      <w:r>
        <w:rPr/>
        <w:t>The second visualisation mode aims to support observing the spatial patterns of theme layers individually. At the same time, user should be able to identify the areas where the patterns match or differ. While in the previous mode the individual patterns blended within the average, in the second mode we use graduated symbol size to keep the layers visually separated.</w:t>
      </w:r>
    </w:p>
    <w:p>
      <w:pPr>
        <w:pStyle w:val="TextBody"/>
        <w:rPr/>
      </w:pPr>
      <w:r>
        <w:rPr/>
        <w:t>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based on the zoom level so that the symbols are correctly placed at the hexagonal grid across scales.</w:t>
      </w:r>
    </w:p>
    <w:p>
      <w:pPr>
        <w:pStyle w:val="Normal"/>
        <w:rPr/>
      </w:pPr>
      <w:r>
        <w:rPr/>
        <w:drawing>
          <wp:inline distT="0" distB="0" distL="114935" distR="114935">
            <wp:extent cx="3987800" cy="3139440"/>
            <wp:effectExtent l="0" t="0" r="0" b="0"/>
            <wp:docPr id="33" name="Image32" descr="Fig.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The three types of graduated symbols displayed at two scales with all six layers enabled."/>
                    <pic:cNvPicPr>
                      <a:picLocks noChangeAspect="1" noChangeArrowheads="1"/>
                    </pic:cNvPicPr>
                  </pic:nvPicPr>
                  <pic:blipFill>
                    <a:blip r:embed="rId37"/>
                    <a:stretch>
                      <a:fillRect/>
                    </a:stretch>
                  </pic:blipFill>
                  <pic:spPr bwMode="auto">
                    <a:xfrm>
                      <a:off x="0" y="0"/>
                      <a:ext cx="3987800" cy="3139440"/>
                    </a:xfrm>
                    <a:prstGeom prst="rect">
                      <a:avLst/>
                    </a:prstGeom>
                  </pic:spPr>
                </pic:pic>
              </a:graphicData>
            </a:graphic>
          </wp:inline>
        </w:drawing>
      </w:r>
    </w:p>
    <w:p>
      <w:pPr>
        <w:pStyle w:val="ImageCaption"/>
        <w:rPr/>
      </w:pPr>
      <w:r>
        <w:rPr>
          <w:b/>
        </w:rPr>
        <w:t>Fig.</w:t>
      </w:r>
      <w:r>
        <w:rPr/>
        <w:t xml:space="preserve"> The three types of graduated symbols displayed at two scales with all six layers enabled.</w:t>
      </w:r>
    </w:p>
    <w:p>
      <w:pPr>
        <w:pStyle w:val="TextBody"/>
        <w:rPr/>
      </w:pPr>
      <w:r>
        <w:rPr/>
        <w:t>To compare the three selected shapes:</w:t>
      </w:r>
    </w:p>
    <w:p>
      <w:pPr>
        <w:pStyle w:val="Normal"/>
        <w:numPr>
          <w:ilvl w:val="0"/>
          <w:numId w:val="125"/>
        </w:numPr>
        <w:rPr/>
      </w:pPr>
      <w:r>
        <w:rPr>
          <w:i/>
        </w:rPr>
        <w:t>Wedges</w:t>
      </w:r>
      <w:r>
        <w:rPr/>
        <w:t xml:space="preserve"> — A number of wedge variants were tested. The aim was to minimize contact of the symbols in the map field, therefore the wedge symbols “grow” gradually from the sides of the hexagons and not from the center. This limits the symbol contact to three touching wedges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w:t>
      </w:r>
    </w:p>
    <w:p>
      <w:pPr>
        <w:pStyle w:val="Normal"/>
        <w:numPr>
          <w:ilvl w:val="0"/>
          <w:numId w:val="126"/>
        </w:numPr>
        <w:rPr/>
      </w:pPr>
      <w:r>
        <w:rPr>
          <w:i/>
        </w:rPr>
        <w:t>Bars</w:t>
      </w:r>
      <w:r>
        <w:rPr/>
        <w:t xml:space="preserve"> — 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though due to frequent use of similar techniques in wind maps, some users might be tricked to think that the map shows directions.</w:t>
      </w:r>
    </w:p>
    <w:p>
      <w:pPr>
        <w:pStyle w:val="Normal"/>
        <w:numPr>
          <w:ilvl w:val="0"/>
          <w:numId w:val="127"/>
        </w:numPr>
        <w:rPr/>
      </w:pPr>
      <w:r>
        <w:rPr>
          <w:i/>
        </w:rPr>
        <w:t>Circles</w:t>
      </w:r>
      <w:r>
        <w:rPr/>
        <w:t xml:space="preserve"> — This Bertin inspired variant is least prone to be misunderstood as a compound shape representing proportions within a grid cell. It is the only variant that allows symbol overlap.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the interactive environment therefore allows users to display just two or three layers at once.</w:t>
      </w:r>
    </w:p>
    <w:p>
      <w:pPr>
        <w:pStyle w:val="Heading2"/>
        <w:rPr/>
      </w:pPr>
      <w:bookmarkStart w:id="41" w:name="user-interface-design"/>
      <w:r>
        <w:rPr/>
        <w:t>4.4 User interface design</w:t>
      </w:r>
      <w:bookmarkEnd w:id="41"/>
    </w:p>
    <w:p>
      <w:pPr>
        <w:pStyle w:val="FirstParagraph"/>
        <w:rPr/>
      </w:pPr>
      <w:r>
        <w:rPr/>
        <w:t>The user interface in mode 1 revolves around various ways of selecting the layers and adjusting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Various possible states of theme layers as signified on the control panel in the mode 1 variant of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Various possible states of theme layers as signified on the control panel in the mode 1 variant of the application."/>
                    <pic:cNvPicPr>
                      <a:picLocks noChangeAspect="1" noChangeArrowheads="1"/>
                    </pic:cNvPicPr>
                  </pic:nvPicPr>
                  <pic:blipFill>
                    <a:blip r:embed="rId38"/>
                    <a:stretch>
                      <a:fillRect/>
                    </a:stretch>
                  </pic:blipFill>
                  <pic:spPr bwMode="auto">
                    <a:xfrm>
                      <a:off x="0" y="0"/>
                      <a:ext cx="3987800" cy="3147060"/>
                    </a:xfrm>
                    <a:prstGeom prst="rect">
                      <a:avLst/>
                    </a:prstGeom>
                  </pic:spPr>
                </pic:pic>
              </a:graphicData>
            </a:graphic>
          </wp:inline>
        </w:drawing>
      </w:r>
    </w:p>
    <w:p>
      <w:pPr>
        <w:pStyle w:val="ImageCaption"/>
        <w:rPr/>
      </w:pPr>
      <w:r>
        <w:rPr>
          <w:b/>
        </w:rPr>
        <w:t>Fig.</w:t>
      </w:r>
      <w:r>
        <w:rPr/>
        <w:t xml:space="preserve"> Various possible states of theme layers as signified on the control panel in the mode 1 variant of the application.</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w:t>
      </w:r>
    </w:p>
    <w:p>
      <w:pPr>
        <w:pStyle w:val="Normal"/>
        <w:rPr/>
      </w:pPr>
      <w:r>
        <w:rPr/>
        <w:drawing>
          <wp:inline distT="0" distB="0" distL="114935" distR="114935">
            <wp:extent cx="3425190" cy="666750"/>
            <wp:effectExtent l="0" t="0" r="0" b="0"/>
            <wp:docPr id="35" name="Image34" descr="Fig. Legend variants for three types of symbol layer in mode 2.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Legend variants for three types of symbol layer in mode 2. Two of the six layers are show to display angle variation."/>
                    <pic:cNvPicPr>
                      <a:picLocks noChangeAspect="1" noChangeArrowheads="1"/>
                    </pic:cNvPicPr>
                  </pic:nvPicPr>
                  <pic:blipFill>
                    <a:blip r:embed="rId39"/>
                    <a:stretch>
                      <a:fillRect/>
                    </a:stretch>
                  </pic:blipFill>
                  <pic:spPr bwMode="auto">
                    <a:xfrm>
                      <a:off x="0" y="0"/>
                      <a:ext cx="3425190" cy="666750"/>
                    </a:xfrm>
                    <a:prstGeom prst="rect">
                      <a:avLst/>
                    </a:prstGeom>
                  </pic:spPr>
                </pic:pic>
              </a:graphicData>
            </a:graphic>
          </wp:inline>
        </w:drawing>
      </w:r>
    </w:p>
    <w:p>
      <w:pPr>
        <w:pStyle w:val="ImageCaption"/>
        <w:rPr/>
      </w:pPr>
      <w:r>
        <w:rPr>
          <w:b/>
        </w:rPr>
        <w:t>Fig.</w:t>
      </w:r>
      <w:r>
        <w:rPr/>
        <w:t xml:space="preserve"> Legend variants for three types of symbol layer in mode 2. Two of the six layers are show to display angle variation.</w:t>
      </w:r>
    </w:p>
    <w:p>
      <w:pPr>
        <w:pStyle w:val="TextBody"/>
        <w:rPr/>
      </w:pPr>
      <w:r>
        <w:rPr/>
        <w:t>While responsiveness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thought the map and the panel can not be viewed both at once on small screens, user can at least jump between them easily.</w:t>
      </w:r>
    </w:p>
    <w:p>
      <w:pPr>
        <w:pStyle w:val="TextBody"/>
        <w:rPr/>
      </w:pPr>
      <w:r>
        <w:rPr/>
        <w:t>## 4.5 Evaluation and possible extensions</w:t>
      </w:r>
    </w:p>
    <w:p>
      <w:pPr>
        <w:pStyle w:val="TextBody"/>
        <w:rPr/>
      </w:pPr>
      <w:r>
        <w:rPr/>
        <w:t>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Anchor"/>
        </w:rPr>
        <w:footnoteReference w:id="60"/>
      </w:r>
      <w:r>
        <w:rPr/>
        <w:t>) could be used. When it comes to updating layers based on distance interpolation, an interesting problem arises on how to efficiently update only the parts of the point grid that are affected by the change. Fig details one possible solution using Voronoi diagrams.</w:t>
      </w:r>
    </w:p>
    <w:p>
      <w:pPr>
        <w:pStyle w:val="TextBody"/>
        <w:rPr/>
      </w:pPr>
      <w:r>
        <w:rPr/>
        <w:drawing>
          <wp:inline distT="0" distB="0" distL="114935" distR="114935">
            <wp:extent cx="3987800" cy="2629535"/>
            <wp:effectExtent l="0" t="0" r="0" b="0"/>
            <wp:docPr id="36" name="Image35"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pic:cNvPicPr>
                      <a:picLocks noChangeAspect="1" noChangeArrowheads="1"/>
                    </pic:cNvPicPr>
                  </pic:nvPicPr>
                  <pic:blipFill>
                    <a:blip r:embed="rId40"/>
                    <a:stretch>
                      <a:fillRect/>
                    </a:stretch>
                  </pic:blipFill>
                  <pic:spPr bwMode="auto">
                    <a:xfrm>
                      <a:off x="0" y="0"/>
                      <a:ext cx="3987800" cy="2629535"/>
                    </a:xfrm>
                    <a:prstGeom prst="rect">
                      <a:avLst/>
                    </a:prstGeom>
                  </pic:spPr>
                </pic:pic>
              </a:graphicData>
            </a:graphic>
          </wp:inline>
        </w:drawing>
      </w:r>
      <w:r>
        <w:rPr/>
        <w:t xml:space="preserve"> – </w:t>
      </w:r>
      <w:r>
        <w:rPr/>
        <w:t>TODO legend within the image</w:t>
      </w:r>
    </w:p>
    <w:p>
      <w:pPr>
        <w:pStyle w:val="TextBody"/>
        <w:rPr/>
      </w:pPr>
      <w:r>
        <w:rPr/>
        <w:t>The range of included datasets could be extended – there is a wide variety of municipal data that collected and published, often times in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included layers and assigned weights.</w:t>
      </w:r>
    </w:p>
    <w:p>
      <w:pPr>
        <w:pStyle w:val="Heading1"/>
        <w:rPr/>
      </w:pPr>
      <w:bookmarkStart w:id="42" w:name="case-study-traffic-speeds"/>
      <w:r>
        <w:rPr/>
        <w:t>5 Case study: Traffic speeds</w:t>
      </w:r>
      <w:bookmarkEnd w:id="42"/>
    </w:p>
    <w:p>
      <w:pPr>
        <w:pStyle w:val="FirstParagraph"/>
        <w:rPr/>
      </w:pPr>
      <w:r>
        <w:rPr/>
        <w:t>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Anchor"/>
        </w:rPr>
        <w:footnoteReference w:id="61"/>
      </w:r>
      <w:r>
        <w:rPr/>
        <w:t>.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Anchor"/>
        </w:rPr>
        <w:footnoteReference w:id="62"/>
      </w:r>
      <w:r>
        <w:rPr/>
        <w:t>.</w:t>
      </w:r>
    </w:p>
    <w:p>
      <w:pPr>
        <w:pStyle w:val="Heading2"/>
        <w:rPr/>
      </w:pPr>
      <w:bookmarkStart w:id="43" w:name="data-sources-and-transformations-1"/>
      <w:r>
        <w:rPr/>
        <w:t>5.1 Data sources and transformations</w:t>
      </w:r>
      <w:bookmarkEnd w:id="43"/>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63"/>
      </w:r>
      <w:r>
        <w:rPr/>
        <w:t>. Spatially, one file covered the area of a zoom level 6 tile, which meant that the data files for our problem area also covered a significant part of the Czech Republic (see Fig 1).</w:t>
      </w:r>
    </w:p>
    <w:p>
      <w:pPr>
        <w:pStyle w:val="Normal"/>
        <w:rPr/>
      </w:pPr>
      <w:r>
        <w:rPr/>
        <w:drawing>
          <wp:inline distT="0" distB="0" distL="114935" distR="114935">
            <wp:extent cx="3987800" cy="3975735"/>
            <wp:effectExtent l="0" t="0" r="0" b="0"/>
            <wp:docPr id="37" name="Image36" descr="Fig 1.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1.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3987800" cy="3975735"/>
                    </a:xfrm>
                    <a:prstGeom prst="rect">
                      <a:avLst/>
                    </a:prstGeom>
                  </pic:spPr>
                </pic:pic>
              </a:graphicData>
            </a:graphic>
          </wp:inline>
        </w:drawing>
      </w:r>
    </w:p>
    <w:p>
      <w:pPr>
        <w:pStyle w:val="ImageCaption"/>
        <w:rPr/>
      </w:pPr>
      <w:r>
        <w:rPr>
          <w:b/>
        </w:rPr>
        <w:t>Fig 1.</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rPr/>
      </w:pPr>
      <w:r>
        <w:rPr/>
        <w:t xml:space="preserve">After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Anchor"/>
        </w:rPr>
        <w:footnoteReference w:id="64"/>
      </w:r>
      <w:r>
        <w:rPr/>
        <w:t>. Data was provided for eight weeks, so there were eight files files of these proportions to be processed.</w:t>
      </w:r>
    </w:p>
    <w:p>
      <w:pPr>
        <w:pStyle w:val="TextBody"/>
        <w:rPr/>
      </w:pPr>
      <w:r>
        <w:rPr/>
        <w:t>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65"/>
      </w:r>
      <w:r>
        <w:rPr/>
        <w:t>. For each of the unique nodes, we obtained spatial coordinates by querying the Open Street Map API</w:t>
      </w:r>
      <w:r>
        <w:rPr>
          <w:rStyle w:val="FootnoteAnchor"/>
        </w:rPr>
        <w:footnoteReference w:id="66"/>
      </w:r>
      <w:r>
        <w:rPr/>
        <w:t>.</w:t>
      </w:r>
    </w:p>
    <w:p>
      <w:pPr>
        <w:pStyle w:val="TextBody"/>
        <w:rPr/>
      </w:pPr>
      <w:r>
        <w:rPr/>
        <w:t xml:space="preserve">With spatially defined unique nodes it was possible to filter out the subset of the nodes that belonged to the Brno municipal area. The most straightforward way to do that is to load the nodes to QGIS desktop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Anchor"/>
        </w:rPr>
        <w:footnoteReference w:id="67"/>
      </w:r>
      <w:r>
        <w:rPr/>
        <w:t>.</w:t>
      </w:r>
    </w:p>
    <w:p>
      <w:pPr>
        <w:pStyle w:val="TextBody"/>
        <w:rPr/>
      </w:pPr>
      <w:r>
        <w:rPr/>
        <w:t xml:space="preserve">Such task is reminiscent of situations described in the </w:t>
      </w:r>
      <w:r>
        <w:rPr>
          <w:i/>
        </w:rPr>
        <w:t>Small big data manifesto</w:t>
      </w:r>
      <w:r>
        <w:rPr/>
        <w:t xml:space="preserve"> (Voss, Lvov, &amp; Lewis (2012))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Anchor"/>
        </w:rPr>
        <w:footnoteReference w:id="68"/>
      </w:r>
      <w:r>
        <w:rPr/>
        <w:t>.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9"/>
      </w:r>
      <w:r>
        <w:rPr/>
        <w:t xml:space="preserve"> 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rPr/>
      </w:pPr>
      <w:r>
        <w:rPr/>
        <w:t>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Anchor"/>
        </w:rPr>
        <w:footnoteReference w:id="70"/>
      </w:r>
      <w:r>
        <w:rPr/>
        <w:t xml:space="preserve">. The batch of resulting </w:t>
      </w:r>
      <w:r>
        <w:rPr>
          <w:i/>
        </w:rPr>
        <w:t>.mbtile</w:t>
      </w:r>
      <w:r>
        <w:rPr/>
        <w:t xml:space="preserve"> files was then uploaded to the Mapbox server via API</w:t>
      </w:r>
      <w:r>
        <w:rPr>
          <w:rStyle w:val="FootnoteAnchor"/>
        </w:rPr>
        <w:footnoteReference w:id="71"/>
      </w:r>
      <w:r>
        <w:rPr/>
        <w:t>.</w:t>
      </w:r>
    </w:p>
    <w:p>
      <w:pPr>
        <w:pStyle w:val="TextBody"/>
        <w:rPr/>
      </w:pPr>
      <w:r>
        <w:rPr/>
        <w:t>## 5.2 Application architecture</w:t>
      </w:r>
    </w:p>
    <w:p>
      <w:pPr>
        <w:pStyle w:val="TextBody"/>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rPr/>
      </w:pPr>
      <w:bookmarkStart w:id="44" w:name="cartographic-decisions-1"/>
      <w:r>
        <w:rPr/>
        <w:t>5.3 Cartographic decisions</w:t>
      </w:r>
      <w:bookmarkEnd w:id="44"/>
    </w:p>
    <w:p>
      <w:pPr>
        <w:pStyle w:val="FirstParagraph"/>
        <w:rPr/>
      </w:pPr>
      <w:r>
        <w:rPr/>
        <w:t>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Normal"/>
        <w:rPr/>
      </w:pPr>
      <w:r>
        <w:rPr/>
        <w:drawing>
          <wp:inline distT="0" distB="0" distL="114935" distR="114935">
            <wp:extent cx="3987800" cy="1017270"/>
            <wp:effectExtent l="0" t="0" r="0" b="0"/>
            <wp:docPr id="38" name="Image37"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3987800" cy="1017270"/>
                    </a:xfrm>
                    <a:prstGeom prst="rect">
                      <a:avLst/>
                    </a:prstGeom>
                  </pic:spPr>
                </pic:pic>
              </a:graphicData>
            </a:graphic>
          </wp:inline>
        </w:drawing>
      </w:r>
    </w:p>
    <w:p>
      <w:pPr>
        <w:pStyle w:val="ImageCaption"/>
        <w:rPr/>
      </w:pPr>
      <w:r>
        <w:rPr>
          <w:b/>
        </w:rPr>
        <w:t>Fig. 2</w:t>
      </w:r>
      <w:r>
        <w:rPr/>
        <w:t xml:space="preserve">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rPr/>
      </w:pPr>
      <w:r>
        <w:rPr/>
        <w:t>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Normal"/>
        <w:rPr/>
      </w:pPr>
      <w:r>
        <w:rPr/>
        <w:drawing>
          <wp:inline distT="0" distB="0" distL="114935" distR="114935">
            <wp:extent cx="3987800" cy="2843530"/>
            <wp:effectExtent l="0" t="0" r="0" b="0"/>
            <wp:docPr id="39" name="Image38"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3987800" cy="2843530"/>
                    </a:xfrm>
                    <a:prstGeom prst="rect">
                      <a:avLst/>
                    </a:prstGeom>
                  </pic:spPr>
                </pic:pic>
              </a:graphicData>
            </a:graphic>
          </wp:inline>
        </w:drawing>
      </w:r>
    </w:p>
    <w:p>
      <w:pPr>
        <w:pStyle w:val="ImageCaption"/>
        <w:rPr/>
      </w:pPr>
      <w:r>
        <w:rPr>
          <w:b/>
        </w:rPr>
        <w:t>Fig. 3</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also. The </w:t>
      </w:r>
      <w:r>
        <w:rPr>
          <w:i/>
        </w:rPr>
        <w:t>base height</w:t>
      </w:r>
      <w:r>
        <w:rPr/>
        <w:t xml:space="preserve"> fill-extrusion parameter allows to “lift” 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Normal"/>
        <w:rPr/>
      </w:pPr>
      <w:r>
        <w:rPr/>
        <w:drawing>
          <wp:inline distT="0" distB="0" distL="114935" distR="114935">
            <wp:extent cx="3987800" cy="918210"/>
            <wp:effectExtent l="0" t="0" r="0" b="0"/>
            <wp:docPr id="40" name="Image39" descr="Fig. 4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4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3987800" cy="918210"/>
                    </a:xfrm>
                    <a:prstGeom prst="rect">
                      <a:avLst/>
                    </a:prstGeom>
                  </pic:spPr>
                </pic:pic>
              </a:graphicData>
            </a:graphic>
          </wp:inline>
        </w:drawing>
      </w:r>
    </w:p>
    <w:p>
      <w:pPr>
        <w:pStyle w:val="ImageCaption"/>
        <w:rPr/>
      </w:pPr>
      <w:r>
        <w:rPr>
          <w:b/>
        </w:rPr>
        <w:t>Fig. 4</w:t>
      </w:r>
      <w:r>
        <w:rPr/>
        <w:t xml:space="preserve"> Screenshot from the application in the comparison mode. The fill-extrusion parameter is used to support comparison across weeks.</w:t>
      </w:r>
    </w:p>
    <w:p>
      <w:pPr>
        <w:pStyle w:val="Heading2"/>
        <w:rPr/>
      </w:pPr>
      <w:bookmarkStart w:id="45" w:name="user-interface-design-1"/>
      <w:r>
        <w:rPr/>
        <w:t>5.4 User interface design</w:t>
      </w:r>
      <w:bookmarkEnd w:id="45"/>
    </w:p>
    <w:p>
      <w:pPr>
        <w:pStyle w:val="FirstParagraph"/>
        <w:rPr/>
      </w:pPr>
      <w:r>
        <w:rPr/>
        <w:t xml:space="preserve">The resulting map based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rPr/>
      </w:pPr>
      <w:r>
        <w:rPr/>
        <w:t>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rPr/>
      </w:pPr>
      <w:r>
        <w:rPr/>
        <w:t>## 5.5 Evaluation and possible extensions</w:t>
      </w:r>
    </w:p>
    <w:p>
      <w:pPr>
        <w:pStyle w:val="TextBody"/>
        <w:rPr/>
      </w:pPr>
      <w:r>
        <w:rP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72"/>
      </w:r>
      <w:r>
        <w:rPr/>
        <w:t xml:space="preserve"> —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rPr/>
      </w:pPr>
      <w:r>
        <w:rPr/>
        <w:t>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pStyle w:val="Compact"/>
        <w:numPr>
          <w:ilvl w:val="0"/>
          <w:numId w:val="128"/>
        </w:numPr>
        <w:rPr/>
      </w:pPr>
      <w:r>
        <w:rPr/>
        <w:t>Routes with low average speed and very low speed variability throughout the day. These are typically short segments with low traffic, cul-de-sacs leading to residential areas.</w:t>
      </w:r>
    </w:p>
    <w:p>
      <w:pPr>
        <w:pStyle w:val="Compact"/>
        <w:numPr>
          <w:ilvl w:val="0"/>
          <w:numId w:val="129"/>
        </w:numPr>
        <w:rPr/>
      </w:pPr>
      <w:r>
        <w:rPr/>
        <w:t>Routes with medium speeds and visible daily variability. These are mainly the inner-city veins</w:t>
      </w:r>
    </w:p>
    <w:p>
      <w:pPr>
        <w:pStyle w:val="Compact"/>
        <w:numPr>
          <w:ilvl w:val="0"/>
          <w:numId w:val="130"/>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rPr/>
      </w:pPr>
      <w:bookmarkStart w:id="46" w:name="X172885d50678a8ae4c4746c65bb50652f2e9dce"/>
      <w:r>
        <w:rPr/>
        <w:t>Appendix A: Big data related research challenges and opportunities for cartography</w:t>
      </w:r>
      <w:bookmarkEnd w:id="46"/>
    </w:p>
    <w:p>
      <w:pPr>
        <w:pStyle w:val="FirstParagraph"/>
        <w:rPr/>
      </w:pPr>
      <w:r>
        <w:rPr/>
        <w:t>TODO intro and citation</w:t>
      </w:r>
    </w:p>
    <w:p>
      <w:pPr>
        <w:pStyle w:val="Heading2"/>
        <w:rPr/>
      </w:pPr>
      <w:bookmarkStart w:id="47" w:name="Xb1494f5321cdc449f269f6fa07a5305647a59aa"/>
      <w:r>
        <w:rPr/>
        <w:t>Research Challenges for Cartography and Geospatial Big Data</w:t>
      </w:r>
      <w:bookmarkEnd w:id="47"/>
    </w:p>
    <w:p>
      <w:pPr>
        <w:pStyle w:val="FirstParagraph"/>
        <w:rPr/>
      </w:pPr>
      <w:r>
        <w:rPr/>
        <w:t>Making sense of geospatial big data</w:t>
      </w:r>
    </w:p>
    <w:p>
      <w:pPr>
        <w:pStyle w:val="Compact"/>
        <w:numPr>
          <w:ilvl w:val="0"/>
          <w:numId w:val="131"/>
        </w:numPr>
        <w:rPr/>
      </w:pPr>
      <w:r>
        <w:rPr/>
        <w:t>Develop visual analytical reasoning systems that help users add meaning to and organize what they discover from geospatial big data</w:t>
      </w:r>
    </w:p>
    <w:p>
      <w:pPr>
        <w:pStyle w:val="Compact"/>
        <w:numPr>
          <w:ilvl w:val="0"/>
          <w:numId w:val="132"/>
        </w:numPr>
        <w:rPr/>
      </w:pPr>
      <w:r>
        <w:rPr/>
        <w:t>Design effective map-based interfaces to support long-term analytical engagement with complex spatiotemporal problems and geospatial big data</w:t>
      </w:r>
    </w:p>
    <w:p>
      <w:pPr>
        <w:pStyle w:val="Compact"/>
        <w:numPr>
          <w:ilvl w:val="0"/>
          <w:numId w:val="133"/>
        </w:numPr>
        <w:rPr/>
      </w:pPr>
      <w:r>
        <w:rPr/>
        <w:t>Develop new approaches for supporting collaborative decision making using the map as a mutual interface for analyzing geospatial big data</w:t>
      </w:r>
    </w:p>
    <w:p>
      <w:pPr>
        <w:pStyle w:val="Compact"/>
        <w:numPr>
          <w:ilvl w:val="0"/>
          <w:numId w:val="134"/>
        </w:numPr>
        <w:rPr/>
      </w:pPr>
      <w:r>
        <w:rPr/>
        <w:t>Develop techniques that allow users to express and match a spatiotemporal pattern they have in mind using the map as an interface for analyzing geospatial big data</w:t>
      </w:r>
    </w:p>
    <w:p>
      <w:pPr>
        <w:pStyle w:val="Compact"/>
        <w:numPr>
          <w:ilvl w:val="0"/>
          <w:numId w:val="135"/>
        </w:numPr>
        <w:rPr/>
      </w:pPr>
      <w:r>
        <w:rPr/>
        <w:t>Understand when, how and if maps can help us understand geospatial big data</w:t>
      </w:r>
    </w:p>
    <w:p>
      <w:pPr>
        <w:pStyle w:val="FirstParagraph"/>
        <w:rPr/>
      </w:pPr>
      <w:r>
        <w:rPr/>
        <w:t>Volume</w:t>
      </w:r>
    </w:p>
    <w:p>
      <w:pPr>
        <w:pStyle w:val="Compact"/>
        <w:numPr>
          <w:ilvl w:val="0"/>
          <w:numId w:val="136"/>
        </w:numPr>
        <w:rPr/>
      </w:pPr>
      <w:r>
        <w:rPr/>
        <w:t>Identify effective methods for creating overviews of geospatial big data</w:t>
      </w:r>
    </w:p>
    <w:p>
      <w:pPr>
        <w:pStyle w:val="Compact"/>
        <w:numPr>
          <w:ilvl w:val="0"/>
          <w:numId w:val="137"/>
        </w:numPr>
        <w:rPr/>
      </w:pPr>
      <w:r>
        <w:rPr/>
        <w:t>Develop methods that embody the volume of geospatial big data</w:t>
      </w:r>
    </w:p>
    <w:p>
      <w:pPr>
        <w:pStyle w:val="FirstParagraph"/>
        <w:rPr/>
      </w:pPr>
      <w:r>
        <w:rPr/>
        <w:t>Variety</w:t>
      </w:r>
    </w:p>
    <w:p>
      <w:pPr>
        <w:pStyle w:val="Compact"/>
        <w:numPr>
          <w:ilvl w:val="0"/>
          <w:numId w:val="138"/>
        </w:numPr>
        <w:rPr/>
      </w:pPr>
      <w:r>
        <w:rPr/>
        <w:t>Design and develop cartographic interfaces that can handle the complexity of geospatial big data</w:t>
      </w:r>
    </w:p>
    <w:p>
      <w:pPr>
        <w:pStyle w:val="Compact"/>
        <w:numPr>
          <w:ilvl w:val="0"/>
          <w:numId w:val="139"/>
        </w:numPr>
        <w:rPr/>
      </w:pPr>
      <w:r>
        <w:rPr/>
        <w:t>Develop techniques for understanding change over time in geospatial big data</w:t>
      </w:r>
    </w:p>
    <w:p>
      <w:pPr>
        <w:pStyle w:val="Compact"/>
        <w:numPr>
          <w:ilvl w:val="0"/>
          <w:numId w:val="140"/>
        </w:numPr>
        <w:rPr/>
      </w:pPr>
      <w:r>
        <w:rPr/>
        <w:t>Craft new approaches to support predictive analytics of dynamic phenomena with maps leveraging geospatial big data</w:t>
      </w:r>
    </w:p>
    <w:p>
      <w:pPr>
        <w:pStyle w:val="Compact"/>
        <w:numPr>
          <w:ilvl w:val="0"/>
          <w:numId w:val="141"/>
        </w:numPr>
        <w:rPr/>
      </w:pPr>
      <w:r>
        <w:rPr/>
        <w:t>Develop spatiotemporal visualization methods for geospatial big data that support a variety of uses and users</w:t>
      </w:r>
    </w:p>
    <w:p>
      <w:pPr>
        <w:pStyle w:val="FirstParagraph"/>
        <w:rPr/>
      </w:pPr>
      <w:r>
        <w:rPr/>
        <w:t>Velocity</w:t>
      </w:r>
    </w:p>
    <w:p>
      <w:pPr>
        <w:pStyle w:val="Compact"/>
        <w:numPr>
          <w:ilvl w:val="0"/>
          <w:numId w:val="142"/>
        </w:numPr>
        <w:rPr/>
      </w:pPr>
      <w:r>
        <w:rPr/>
        <w:t>Develop methods that embody the velocity of geospatial big data</w:t>
      </w:r>
    </w:p>
    <w:p>
      <w:pPr>
        <w:pStyle w:val="Compact"/>
        <w:numPr>
          <w:ilvl w:val="0"/>
          <w:numId w:val="143"/>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4"/>
        </w:numPr>
        <w:rPr/>
      </w:pPr>
      <w:r>
        <w:rPr/>
        <w:t>Characterize the quality end certainty of geospatial big data</w:t>
      </w:r>
    </w:p>
    <w:p>
      <w:pPr>
        <w:pStyle w:val="Compact"/>
        <w:numPr>
          <w:ilvl w:val="0"/>
          <w:numId w:val="145"/>
        </w:numPr>
        <w:rPr/>
      </w:pPr>
      <w:r>
        <w:rPr/>
        <w:t>Develop new approaches for visualizing the quality and certainty of geospatial big data</w:t>
      </w:r>
    </w:p>
    <w:p>
      <w:pPr>
        <w:pStyle w:val="FirstParagraph"/>
        <w:rPr/>
      </w:pPr>
      <w:r>
        <w:rPr/>
        <w:t>Art and geospatial big data</w:t>
      </w:r>
    </w:p>
    <w:p>
      <w:pPr>
        <w:pStyle w:val="Compact"/>
        <w:numPr>
          <w:ilvl w:val="0"/>
          <w:numId w:val="146"/>
        </w:numPr>
        <w:rPr/>
      </w:pPr>
      <w:r>
        <w:rPr/>
        <w:t>Encourage and maximize creative contributions far expressing geospatial big data</w:t>
      </w:r>
    </w:p>
    <w:p>
      <w:pPr>
        <w:pStyle w:val="Compact"/>
        <w:numPr>
          <w:ilvl w:val="0"/>
          <w:numId w:val="147"/>
        </w:numPr>
        <w:rPr/>
      </w:pPr>
      <w:r>
        <w:rPr/>
        <w:t>Build a library of artistic methods and techniques for representing geospatial big data</w:t>
      </w:r>
    </w:p>
    <w:p>
      <w:pPr>
        <w:pStyle w:val="Compact"/>
        <w:numPr>
          <w:ilvl w:val="0"/>
          <w:numId w:val="148"/>
        </w:numPr>
        <w:rPr/>
      </w:pPr>
      <w:r>
        <w:rPr/>
        <w:t>Generate artistic renderings of geospatial big data</w:t>
      </w:r>
    </w:p>
    <w:p>
      <w:pPr>
        <w:pStyle w:val="Compact"/>
        <w:numPr>
          <w:ilvl w:val="0"/>
          <w:numId w:val="149"/>
        </w:numPr>
        <w:rPr/>
      </w:pPr>
      <w:r>
        <w:rPr/>
        <w:t>Dynamically link artworks to conventional geospatial big data representations</w:t>
      </w:r>
    </w:p>
    <w:p>
      <w:pPr>
        <w:pStyle w:val="Heading2"/>
        <w:rPr/>
      </w:pPr>
      <w:bookmarkStart w:id="48" w:name="X2140a27c2eb920cbce32f6a4ca9f72be44aed33"/>
      <w:r>
        <w:rPr/>
        <w:t>Research Opportunities for Cartography and Geospatial Big Data</w:t>
      </w:r>
      <w:bookmarkEnd w:id="48"/>
    </w:p>
    <w:p>
      <w:pPr>
        <w:pStyle w:val="FirstParagraph"/>
        <w:rPr/>
      </w:pPr>
      <w:r>
        <w:rPr/>
        <w:t>Visual methods for geospatial big data</w:t>
      </w:r>
    </w:p>
    <w:p>
      <w:pPr>
        <w:pStyle w:val="Compact"/>
        <w:numPr>
          <w:ilvl w:val="0"/>
          <w:numId w:val="150"/>
        </w:numPr>
        <w:rPr/>
      </w:pPr>
      <w:r>
        <w:rPr/>
        <w:t>Systematically evaluate the ability of existing visual methods in thematic cartography to support analysis of geospatial big data</w:t>
      </w:r>
    </w:p>
    <w:p>
      <w:pPr>
        <w:pStyle w:val="Compact"/>
        <w:numPr>
          <w:ilvl w:val="0"/>
          <w:numId w:val="151"/>
        </w:numPr>
        <w:rPr/>
      </w:pPr>
      <w:r>
        <w:rPr/>
        <w:t>Adapt cartographic generalization principles and techniques to support visual analysis of geospatial big data</w:t>
      </w:r>
    </w:p>
    <w:p>
      <w:pPr>
        <w:pStyle w:val="Compact"/>
        <w:numPr>
          <w:ilvl w:val="0"/>
          <w:numId w:val="152"/>
        </w:numPr>
        <w:rPr/>
      </w:pPr>
      <w:r>
        <w:rPr/>
        <w:t>Couple computational methods and cartographic representation best practices into an automated framework that suggests appropriate design decisions on-the-fly for geospatial bug data</w:t>
      </w:r>
    </w:p>
    <w:p>
      <w:pPr>
        <w:pStyle w:val="Compact"/>
        <w:numPr>
          <w:ilvl w:val="0"/>
          <w:numId w:val="153"/>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4"/>
        </w:numPr>
        <w:rPr/>
      </w:pPr>
      <w:r>
        <w:rPr/>
        <w:t>Leverage knowledge about patterns across scales in the development of new computational methods for geospatial big data</w:t>
      </w:r>
    </w:p>
    <w:p>
      <w:pPr>
        <w:pStyle w:val="Compact"/>
        <w:numPr>
          <w:ilvl w:val="0"/>
          <w:numId w:val="155"/>
        </w:numPr>
        <w:rPr/>
      </w:pPr>
      <w:r>
        <w:rPr/>
        <w:t>Use what we know about human dynamics to find patterns in geospatial big data</w:t>
      </w:r>
    </w:p>
    <w:p>
      <w:pPr>
        <w:pStyle w:val="Compact"/>
        <w:numPr>
          <w:ilvl w:val="0"/>
          <w:numId w:val="156"/>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57"/>
        </w:numPr>
        <w:rPr/>
      </w:pPr>
      <w:r>
        <w:rPr/>
        <w:t>Facilitate engagement of artists with geospatial big data and the creation of an artistic geospatial language</w:t>
      </w:r>
    </w:p>
    <w:p>
      <w:pPr>
        <w:pStyle w:val="Compact"/>
        <w:numPr>
          <w:ilvl w:val="0"/>
          <w:numId w:val="158"/>
        </w:numPr>
        <w:rPr/>
      </w:pPr>
      <w:r>
        <w:rPr/>
        <w:t>Co-opt artistic methods and techniques to represent geospatial big data</w:t>
      </w:r>
    </w:p>
    <w:p>
      <w:pPr>
        <w:pStyle w:val="Compact"/>
        <w:numPr>
          <w:ilvl w:val="0"/>
          <w:numId w:val="159"/>
        </w:numPr>
        <w:rPr/>
      </w:pPr>
      <w:r>
        <w:rPr/>
        <w:t>Generate artistic renderings of geospatial big data</w:t>
      </w:r>
    </w:p>
    <w:p>
      <w:pPr>
        <w:pStyle w:val="Compact"/>
        <w:numPr>
          <w:ilvl w:val="0"/>
          <w:numId w:val="160"/>
        </w:numPr>
        <w:rPr/>
      </w:pPr>
      <w:r>
        <w:rPr/>
        <w:t>Link artworks to conventional representations in a visual analytics context to leverage geospatial big data</w:t>
      </w:r>
    </w:p>
    <w:p>
      <w:pPr>
        <w:pStyle w:val="Heading1"/>
        <w:rPr/>
      </w:pPr>
      <w:bookmarkStart w:id="49" w:name="appendix-c-urban-recommendation-system"/>
      <w:r>
        <w:rPr/>
        <w:t>Appendix C: Urban recommendation system</w:t>
      </w:r>
      <w:bookmarkEnd w:id="49"/>
    </w:p>
    <w:p>
      <w:pPr>
        <w:pStyle w:val="FirstParagraph"/>
        <w:rPr/>
      </w:pPr>
      <w:r>
        <w:rPr/>
        <w:t>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Normal"/>
        <w:rPr/>
      </w:pPr>
      <w:r>
        <w:rPr/>
        <w:drawing>
          <wp:inline distT="0" distB="0" distL="114935" distR="114935">
            <wp:extent cx="3987800" cy="2418080"/>
            <wp:effectExtent l="0" t="0" r="0" b="0"/>
            <wp:docPr id="41" name="Image40" descr="Full view of the interface in mode 1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ull view of the interface in mode 1 view"/>
                    <pic:cNvPicPr>
                      <a:picLocks noChangeAspect="1" noChangeArrowheads="1"/>
                    </pic:cNvPicPr>
                  </pic:nvPicPr>
                  <pic:blipFill>
                    <a:blip r:embed="rId46"/>
                    <a:stretch>
                      <a:fillRect/>
                    </a:stretch>
                  </pic:blipFill>
                  <pic:spPr bwMode="auto">
                    <a:xfrm>
                      <a:off x="0" y="0"/>
                      <a:ext cx="3987800" cy="2418080"/>
                    </a:xfrm>
                    <a:prstGeom prst="rect">
                      <a:avLst/>
                    </a:prstGeom>
                  </pic:spPr>
                </pic:pic>
              </a:graphicData>
            </a:graphic>
          </wp:inline>
        </w:drawing>
      </w:r>
    </w:p>
    <w:p>
      <w:pPr>
        <w:pStyle w:val="ImageCaption"/>
        <w:rPr/>
      </w:pPr>
      <w:r>
        <w:rPr/>
        <w:t>Full view of the interface in mode 1 view</w:t>
      </w:r>
    </w:p>
    <w:p>
      <w:pPr>
        <w:pStyle w:val="Normal"/>
        <w:rPr/>
      </w:pPr>
      <w:r>
        <w:rPr/>
        <w:drawing>
          <wp:inline distT="0" distB="0" distL="114935" distR="114935">
            <wp:extent cx="3987800" cy="2421255"/>
            <wp:effectExtent l="0" t="0" r="0" b="0"/>
            <wp:docPr id="42" name="Image41" descr="Full view of the interface in mode 2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ull view of the interface in mode 2 view"/>
                    <pic:cNvPicPr>
                      <a:picLocks noChangeAspect="1" noChangeArrowheads="1"/>
                    </pic:cNvPicPr>
                  </pic:nvPicPr>
                  <pic:blipFill>
                    <a:blip r:embed="rId47"/>
                    <a:stretch>
                      <a:fillRect/>
                    </a:stretch>
                  </pic:blipFill>
                  <pic:spPr bwMode="auto">
                    <a:xfrm>
                      <a:off x="0" y="0"/>
                      <a:ext cx="3987800" cy="2421255"/>
                    </a:xfrm>
                    <a:prstGeom prst="rect">
                      <a:avLst/>
                    </a:prstGeom>
                  </pic:spPr>
                </pic:pic>
              </a:graphicData>
            </a:graphic>
          </wp:inline>
        </w:drawing>
      </w:r>
    </w:p>
    <w:p>
      <w:pPr>
        <w:pStyle w:val="ImageCaption"/>
        <w:rPr/>
      </w:pPr>
      <w:r>
        <w:rPr/>
        <w:t>Full view of the interface in mode 2 view</w:t>
      </w:r>
    </w:p>
    <w:p>
      <w:pPr>
        <w:pStyle w:val="Normal"/>
        <w:rPr/>
      </w:pPr>
      <w:r>
        <w:rPr/>
        <w:drawing>
          <wp:inline distT="0" distB="0" distL="114935" distR="114935">
            <wp:extent cx="3987800" cy="3447415"/>
            <wp:effectExtent l="0" t="0" r="0" b="0"/>
            <wp:docPr id="43" name="Image42" descr="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Mode 1 view with buildings overlay enabled."/>
                    <pic:cNvPicPr>
                      <a:picLocks noChangeAspect="1" noChangeArrowheads="1"/>
                    </pic:cNvPicPr>
                  </pic:nvPicPr>
                  <pic:blipFill>
                    <a:blip r:embed="rId48"/>
                    <a:stretch>
                      <a:fillRect/>
                    </a:stretch>
                  </pic:blipFill>
                  <pic:spPr bwMode="auto">
                    <a:xfrm>
                      <a:off x="0" y="0"/>
                      <a:ext cx="3987800" cy="3447415"/>
                    </a:xfrm>
                    <a:prstGeom prst="rect">
                      <a:avLst/>
                    </a:prstGeom>
                  </pic:spPr>
                </pic:pic>
              </a:graphicData>
            </a:graphic>
          </wp:inline>
        </w:drawing>
      </w:r>
    </w:p>
    <w:p>
      <w:pPr>
        <w:pStyle w:val="ImageCaption"/>
        <w:rPr/>
      </w:pPr>
      <w:r>
        <w:rPr/>
        <w:t>Mode 1 view with buildings overlay enabled.</w:t>
      </w:r>
    </w:p>
    <w:p>
      <w:pPr>
        <w:pStyle w:val="Normal"/>
        <w:rPr/>
      </w:pPr>
      <w:r>
        <w:rPr/>
        <w:drawing>
          <wp:inline distT="0" distB="0" distL="114935" distR="114935">
            <wp:extent cx="3987800" cy="3447415"/>
            <wp:effectExtent l="0" t="0" r="0" b="0"/>
            <wp:docPr id="44" name="Image43" descr="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Mode 1 view with districts overlay enabled."/>
                    <pic:cNvPicPr>
                      <a:picLocks noChangeAspect="1" noChangeArrowheads="1"/>
                    </pic:cNvPicPr>
                  </pic:nvPicPr>
                  <pic:blipFill>
                    <a:blip r:embed="rId49"/>
                    <a:stretch>
                      <a:fillRect/>
                    </a:stretch>
                  </pic:blipFill>
                  <pic:spPr bwMode="auto">
                    <a:xfrm>
                      <a:off x="0" y="0"/>
                      <a:ext cx="3987800" cy="3447415"/>
                    </a:xfrm>
                    <a:prstGeom prst="rect">
                      <a:avLst/>
                    </a:prstGeom>
                  </pic:spPr>
                </pic:pic>
              </a:graphicData>
            </a:graphic>
          </wp:inline>
        </w:drawing>
      </w:r>
    </w:p>
    <w:p>
      <w:pPr>
        <w:pStyle w:val="ImageCaption"/>
        <w:rPr/>
      </w:pPr>
      <w:r>
        <w:rPr/>
        <w:t>Mode 1 view with districts overlay enabled.</w:t>
      </w:r>
    </w:p>
    <w:p>
      <w:pPr>
        <w:pStyle w:val="Heading1"/>
        <w:rPr/>
      </w:pPr>
      <w:bookmarkStart w:id="50" w:name="appendix-c-traffic-speeds"/>
      <w:r>
        <w:rPr/>
        <w:t>Appendix C: Traffic speeds</w:t>
      </w:r>
      <w:bookmarkEnd w:id="50"/>
    </w:p>
    <w:p>
      <w:pPr>
        <w:pStyle w:val="FirstParagraph"/>
        <w:rPr/>
      </w:pPr>
      <w:r>
        <w:rPr/>
        <w:t>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Normal"/>
        <w:rPr/>
      </w:pPr>
      <w:r>
        <w:rPr/>
        <w:drawing>
          <wp:inline distT="0" distB="0" distL="114935" distR="114935">
            <wp:extent cx="3987800" cy="2394585"/>
            <wp:effectExtent l="0" t="0" r="0" b="0"/>
            <wp:docPr id="45" name="Image44" descr="Full view of th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ull view of the interface"/>
                    <pic:cNvPicPr>
                      <a:picLocks noChangeAspect="1" noChangeArrowheads="1"/>
                    </pic:cNvPicPr>
                  </pic:nvPicPr>
                  <pic:blipFill>
                    <a:blip r:embed="rId50"/>
                    <a:stretch>
                      <a:fillRect/>
                    </a:stretch>
                  </pic:blipFill>
                  <pic:spPr bwMode="auto">
                    <a:xfrm>
                      <a:off x="0" y="0"/>
                      <a:ext cx="3987800" cy="2394585"/>
                    </a:xfrm>
                    <a:prstGeom prst="rect">
                      <a:avLst/>
                    </a:prstGeom>
                  </pic:spPr>
                </pic:pic>
              </a:graphicData>
            </a:graphic>
          </wp:inline>
        </w:drawing>
      </w:r>
    </w:p>
    <w:p>
      <w:pPr>
        <w:pStyle w:val="ImageCaption"/>
        <w:rPr/>
      </w:pPr>
      <w:r>
        <w:rPr/>
        <w:t>Full view of the interface</w:t>
      </w:r>
    </w:p>
    <w:p>
      <w:pPr>
        <w:pStyle w:val="TextBody"/>
        <w:rPr/>
      </w:pPr>
      <w:r>
        <w:rPr/>
        <w:drawing>
          <wp:inline distT="0" distB="0" distL="114935" distR="114935">
            <wp:extent cx="2006600" cy="4064000"/>
            <wp:effectExtent l="0" t="0" r="0" b="0"/>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51"/>
                    <a:stretch>
                      <a:fillRect/>
                    </a:stretch>
                  </pic:blipFill>
                  <pic:spPr bwMode="auto">
                    <a:xfrm>
                      <a:off x="0" y="0"/>
                      <a:ext cx="2006600" cy="4064000"/>
                    </a:xfrm>
                    <a:prstGeom prst="rect">
                      <a:avLst/>
                    </a:prstGeom>
                  </pic:spPr>
                </pic:pic>
              </a:graphicData>
            </a:graphic>
          </wp:inline>
        </w:drawing>
      </w:r>
      <w:r>
        <w:rPr/>
        <w:t xml:space="preserve"> </w:t>
      </w:r>
      <w:r>
        <w:rPr/>
        <w:drawing>
          <wp:inline distT="0" distB="0" distL="114935" distR="114935">
            <wp:extent cx="3987800" cy="1577340"/>
            <wp:effectExtent l="0" t="0" r="0" b="0"/>
            <wp:docPr id="47" name="Image46"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pic:cNvPicPr>
                      <a:picLocks noChangeAspect="1" noChangeArrowheads="1"/>
                    </pic:cNvPicPr>
                  </pic:nvPicPr>
                  <pic:blipFill>
                    <a:blip r:embed="rId52"/>
                    <a:stretch>
                      <a:fillRect/>
                    </a:stretch>
                  </pic:blipFill>
                  <pic:spPr bwMode="auto">
                    <a:xfrm>
                      <a:off x="0" y="0"/>
                      <a:ext cx="3987800" cy="1577340"/>
                    </a:xfrm>
                    <a:prstGeom prst="rect">
                      <a:avLst/>
                    </a:prstGeom>
                  </pic:spPr>
                </pic:pic>
              </a:graphicData>
            </a:graphic>
          </wp:inline>
        </w:drawing>
      </w:r>
    </w:p>
    <w:p>
      <w:pPr>
        <w:pStyle w:val="TextBody"/>
        <w:rPr/>
      </w:pPr>
      <w:r>
        <w:rPr/>
        <w:drawing>
          <wp:inline distT="0" distB="0" distL="114935" distR="114935">
            <wp:extent cx="2603500" cy="2489200"/>
            <wp:effectExtent l="0" t="0" r="0" b="0"/>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53"/>
                    <a:stretch>
                      <a:fillRect/>
                    </a:stretch>
                  </pic:blipFill>
                  <pic:spPr bwMode="auto">
                    <a:xfrm>
                      <a:off x="0" y="0"/>
                      <a:ext cx="2603500" cy="2489200"/>
                    </a:xfrm>
                    <a:prstGeom prst="rect">
                      <a:avLst/>
                    </a:prstGeom>
                  </pic:spPr>
                </pic:pic>
              </a:graphicData>
            </a:graphic>
          </wp:inline>
        </w:drawing>
      </w:r>
      <w:r>
        <w:rPr/>
        <w:t xml:space="preserve"> </w:t>
      </w:r>
      <w:r>
        <w:rPr/>
        <w:drawing>
          <wp:inline distT="0" distB="0" distL="114935" distR="114935">
            <wp:extent cx="3987800" cy="1515110"/>
            <wp:effectExtent l="0" t="0" r="0" b="0"/>
            <wp:docPr id="49" name="Image48" descr="In the comparison mode, user can select weeks to be compared on the control pannel after clicking the “comparison” checkbox. The selected weeks are then displayed on the overview table, which can still be used to select the day, as well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In the comparison mode, user can select weeks to be compared on the control pannel after clicking the “comparison” checkbox. The selected weeks are then displayed on the overview table, which can still be used to select the day, as well as the slider."/>
                    <pic:cNvPicPr>
                      <a:picLocks noChangeAspect="1" noChangeArrowheads="1"/>
                    </pic:cNvPicPr>
                  </pic:nvPicPr>
                  <pic:blipFill>
                    <a:blip r:embed="rId54"/>
                    <a:stretch>
                      <a:fillRect/>
                    </a:stretch>
                  </pic:blipFill>
                  <pic:spPr bwMode="auto">
                    <a:xfrm>
                      <a:off x="0" y="0"/>
                      <a:ext cx="3987800" cy="1515110"/>
                    </a:xfrm>
                    <a:prstGeom prst="rect">
                      <a:avLst/>
                    </a:prstGeom>
                  </pic:spPr>
                </pic:pic>
              </a:graphicData>
            </a:graphic>
          </wp:inline>
        </w:drawing>
      </w:r>
    </w:p>
    <w:p>
      <w:pPr>
        <w:pStyle w:val="Normal"/>
        <w:rPr/>
      </w:pPr>
      <w:r>
        <w:rPr/>
        <w:drawing>
          <wp:inline distT="0" distB="0" distL="114935" distR="114935">
            <wp:extent cx="3987800" cy="7590790"/>
            <wp:effectExtent l="0" t="0" r="0" b="0"/>
            <wp:docPr id="50" name="Image49" descr="Example showing the map view in th comparinson mode, fill-extrusion is used with til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Example showing the map view in th comparinson mode, fill-extrusion is used with tiled camera view to allow layer comparison. Application is shown in the small screen layout, with the side panel broken down below the map view (outside of the image)."/>
                    <pic:cNvPicPr>
                      <a:picLocks noChangeAspect="1" noChangeArrowheads="1"/>
                    </pic:cNvPicPr>
                  </pic:nvPicPr>
                  <pic:blipFill>
                    <a:blip r:embed="rId55"/>
                    <a:stretch>
                      <a:fillRect/>
                    </a:stretch>
                  </pic:blipFill>
                  <pic:spPr bwMode="auto">
                    <a:xfrm>
                      <a:off x="0" y="0"/>
                      <a:ext cx="3987800" cy="7590790"/>
                    </a:xfrm>
                    <a:prstGeom prst="rect">
                      <a:avLst/>
                    </a:prstGeom>
                  </pic:spPr>
                </pic:pic>
              </a:graphicData>
            </a:graphic>
          </wp:inline>
        </w:drawing>
      </w:r>
    </w:p>
    <w:p>
      <w:pPr>
        <w:pStyle w:val="ImageCaption"/>
        <w:rPr/>
      </w:pPr>
      <w:r>
        <w:rPr/>
        <w:t>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rPr/>
      </w:pPr>
      <w:bookmarkStart w:id="51" w:name="sources"/>
      <w:r>
        <w:rPr/>
        <w:t>Sources</w:t>
      </w:r>
      <w:bookmarkEnd w:id="51"/>
    </w:p>
    <w:p>
      <w:pPr>
        <w:pStyle w:val="Bibliography"/>
        <w:rPr/>
      </w:pPr>
      <w:r>
        <w:rPr/>
        <w:t xml:space="preserve">Ademovic, A. (2016). 3D graphics: A webgl tutorial. </w:t>
      </w:r>
      <w:hyperlink r:id="rId56">
        <w:r>
          <w:rPr>
            <w:rStyle w:val="InternetLink"/>
          </w:rPr>
          <w:t>https://www.toptal.com/javascript/3d-graphics-a-webgl-tutorial</w:t>
        </w:r>
      </w:hyperlink>
      <w:r>
        <w:rPr/>
        <w:t>.</w:t>
      </w:r>
      <w:bookmarkStart w:id="52" w:name="ref-ademovic20163d"/>
      <w:bookmarkEnd w:id="52"/>
    </w:p>
    <w:p>
      <w:pPr>
        <w:pStyle w:val="Bibliography"/>
        <w:rPr/>
      </w:pPr>
      <w:r>
        <w:rPr/>
        <w:t xml:space="preserve">Agafonkin, Vladimir. (2016).  Clustering millions of points on a map with Supercluster. </w:t>
      </w:r>
      <w:hyperlink r:id="rId57">
        <w:r>
          <w:rPr>
            <w:rStyle w:val="InternetLink"/>
          </w:rPr>
          <w:t>https://blog.mapbox.com/clustering-millions-of-points-on-a-map-with-supercluster-272046ec5c97</w:t>
        </w:r>
      </w:hyperlink>
      <w:r>
        <w:rPr/>
        <w:t>.</w:t>
      </w:r>
      <w:bookmarkStart w:id="53" w:name="ref-agafonkin2016clustering"/>
      <w:bookmarkEnd w:id="53"/>
    </w:p>
    <w:p>
      <w:pPr>
        <w:pStyle w:val="Bibliography"/>
        <w:rPr/>
      </w:pPr>
      <w:r>
        <w:rPr/>
        <w:t xml:space="preserve">Agafonkin, Vladimir. (2017).  How I built a wind map with WebGL. </w:t>
      </w:r>
      <w:hyperlink r:id="rId58">
        <w:r>
          <w:rPr>
            <w:rStyle w:val="InternetLink"/>
          </w:rPr>
          <w:t>https://blog.mapbox.com/how-i-built-a-wind-map-with-webgl-b63022b5537f</w:t>
        </w:r>
      </w:hyperlink>
      <w:r>
        <w:rPr/>
        <w:t>.</w:t>
      </w:r>
      <w:bookmarkStart w:id="54" w:name="ref-agafonkin2017how"/>
      <w:bookmarkEnd w:id="54"/>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55" w:name="ref-agarwal2013blinkdb"/>
      <w:bookmarkEnd w:id="55"/>
    </w:p>
    <w:p>
      <w:pPr>
        <w:pStyle w:val="Bibliography"/>
        <w:rPr/>
      </w:pPr>
      <w:r>
        <w:rPr/>
        <w:t xml:space="preserve">Aigner, W., Miksch, S., Schumann, H., &amp; Tominski, C. (2011). </w:t>
      </w:r>
      <w:r>
        <w:rPr>
          <w:i/>
        </w:rPr>
        <w:t>Visualization of time-oriented data</w:t>
      </w:r>
      <w:r>
        <w:rPr/>
        <w:t>. Springer Science &amp; Business Media.</w:t>
      </w:r>
      <w:bookmarkStart w:id="56" w:name="ref-aigner2011visualization"/>
      <w:bookmarkEnd w:id="56"/>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57" w:name="ref-allen1995qualitative"/>
      <w:bookmarkEnd w:id="57"/>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58" w:name="ref-allen1984towards"/>
      <w:bookmarkEnd w:id="58"/>
    </w:p>
    <w:p>
      <w:pPr>
        <w:pStyle w:val="Bibliography"/>
        <w:rPr/>
      </w:pPr>
      <w:r>
        <w:rPr/>
        <w:t xml:space="preserve">Amabili, L. (2019). From storytelling to scrollytelling: A short introduction and beyond. </w:t>
      </w:r>
      <w:r>
        <w:rPr>
          <w:i/>
        </w:rPr>
        <w:t>Available online at https://medium.com/nightingale/from-storytelling-to-scrollytelling-a-short-introduction-and-beyond-fbda32066964 (last accessed April 29, 2021)</w:t>
      </w:r>
      <w:r>
        <w:rPr/>
        <w:t>.</w:t>
      </w:r>
      <w:bookmarkStart w:id="59" w:name="ref-amabili2019storytelling"/>
      <w:bookmarkEnd w:id="59"/>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60" w:name="ref-anderson2008end"/>
      <w:bookmarkEnd w:id="60"/>
    </w:p>
    <w:p>
      <w:pPr>
        <w:pStyle w:val="Bibliography"/>
        <w:rPr/>
      </w:pPr>
      <w:r>
        <w:rPr/>
        <w:t xml:space="preserve">Andrienko, N., &amp; Andrienko, G. (2006). </w:t>
      </w:r>
      <w:r>
        <w:rPr>
          <w:i/>
        </w:rPr>
        <w:t>Exploratory analysis of spatial and temporal data: A systematic approach</w:t>
      </w:r>
      <w:r>
        <w:rPr/>
        <w:t>. Springer Science &amp; Business Media.</w:t>
      </w:r>
      <w:bookmarkStart w:id="61" w:name="ref-andrienko2006exploratory"/>
      <w:bookmarkEnd w:id="61"/>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62" w:name="ref-andrienko2008basic"/>
      <w:bookmarkEnd w:id="62"/>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63" w:name="ref-atzori2010internet"/>
      <w:bookmarkEnd w:id="63"/>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64" w:name="ref-barnes2013big"/>
      <w:bookmarkEnd w:id="64"/>
    </w:p>
    <w:p>
      <w:pPr>
        <w:pStyle w:val="Bibliography"/>
        <w:rPr/>
      </w:pPr>
      <w:r>
        <w:rPr/>
        <w:t xml:space="preserve">Baur, D. (2015). Weighing performance against pain svg, canvas and webgl. </w:t>
      </w:r>
      <w:r>
        <w:rPr>
          <w:i/>
        </w:rPr>
        <w:t>Available online at https://www.youtube.com/watch?v=dlZvL7Ei0C0 (last accessed December 29, 2018)</w:t>
      </w:r>
      <w:r>
        <w:rPr/>
        <w:t>.</w:t>
      </w:r>
      <w:bookmarkStart w:id="65" w:name="ref-baur2015weighing"/>
      <w:bookmarkEnd w:id="65"/>
    </w:p>
    <w:p>
      <w:pPr>
        <w:pStyle w:val="Bibliography"/>
        <w:rPr/>
      </w:pPr>
      <w:r>
        <w:rPr/>
        <w:t xml:space="preserve">Baur, D. (2017). The death of interactive infographics? </w:t>
      </w:r>
      <w:r>
        <w:rPr>
          <w:i/>
        </w:rPr>
        <w:t>Available online at https://medium.com/@dominikus/the-end-of-interactive-visualizations-52c585dcafcb (last accessed April 29, 2021)</w:t>
      </w:r>
      <w:r>
        <w:rPr/>
        <w:t>.</w:t>
      </w:r>
      <w:bookmarkStart w:id="66" w:name="ref-baur2017death"/>
      <w:bookmarkEnd w:id="66"/>
    </w:p>
    <w:p>
      <w:pPr>
        <w:pStyle w:val="Bibliography"/>
        <w:rPr/>
      </w:pPr>
      <w:r>
        <w:rPr/>
        <w:t>Bertin, J. (1983). Semiology of graphics: Diagrams, networks, maps. University of Wisconsin press.</w:t>
      </w:r>
      <w:bookmarkStart w:id="67" w:name="ref-bertin1983semiology"/>
      <w:bookmarkEnd w:id="67"/>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68" w:name="ref-birch2007rectangular"/>
      <w:bookmarkEnd w:id="68"/>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69" w:name="ref-bleisch2014mining"/>
      <w:bookmarkEnd w:id="69"/>
    </w:p>
    <w:p>
      <w:pPr>
        <w:pStyle w:val="Bibliography"/>
        <w:rPr/>
      </w:pPr>
      <w:r>
        <w:rPr/>
        <w:t xml:space="preserve">Blok, C. A. (2005). </w:t>
      </w:r>
      <w:r>
        <w:rPr>
          <w:i/>
        </w:rPr>
        <w:t>Dynamic visualization variables in animation to support monitoring of spatial phenomena</w:t>
      </w:r>
      <w:r>
        <w:rPr/>
        <w:t>. Utrecht University.</w:t>
      </w:r>
      <w:bookmarkStart w:id="70" w:name="ref-blok2005dynamic"/>
      <w:bookmarkEnd w:id="70"/>
    </w:p>
    <w:p>
      <w:pPr>
        <w:pStyle w:val="Bibliography"/>
        <w:rPr/>
      </w:pPr>
      <w:r>
        <w:rPr/>
        <w:t xml:space="preserve">Boellstorff, T., &amp; Maurer, W. (2015). Introduction. In </w:t>
      </w:r>
      <w:r>
        <w:rPr>
          <w:i/>
        </w:rPr>
        <w:t>Data, now bigger and better!</w:t>
      </w:r>
      <w:r>
        <w:rPr/>
        <w:t xml:space="preserve"> (pp. 1–6). Prickly Paradigm Press.</w:t>
      </w:r>
      <w:bookmarkStart w:id="71" w:name="ref-boellstorff2015introduction"/>
      <w:bookmarkEnd w:id="71"/>
    </w:p>
    <w:p>
      <w:pPr>
        <w:pStyle w:val="Bibliography"/>
        <w:rPr/>
      </w:pPr>
      <w:r>
        <w:rPr/>
        <w:t xml:space="preserve">Bollier, D., &amp; Firestone, C. M. (2010). </w:t>
      </w:r>
      <w:r>
        <w:rPr>
          <w:i/>
        </w:rPr>
        <w:t>The promise and peril of big data</w:t>
      </w:r>
      <w:r>
        <w:rPr/>
        <w:t>. Aspen Institute, Communications; Society Program Washington, DC.</w:t>
      </w:r>
      <w:bookmarkStart w:id="72" w:name="ref-bollier2010promise"/>
      <w:bookmarkEnd w:id="72"/>
    </w:p>
    <w:p>
      <w:pPr>
        <w:pStyle w:val="Bibliography"/>
        <w:rPr/>
      </w:pPr>
      <w:r>
        <w:rPr/>
        <w:t xml:space="preserve">Bort, J. (2014). There’s a new word being used in the computer industry: ’Brontobytes’. </w:t>
      </w:r>
      <w:r>
        <w:rPr>
          <w:i/>
        </w:rPr>
        <w:t>Available online at http://www.businessinsider.com/new-big-data-word-brontobytes-2014-6 (last accessed May 30, 2018)</w:t>
      </w:r>
      <w:r>
        <w:rPr/>
        <w:t>.</w:t>
      </w:r>
      <w:bookmarkStart w:id="73" w:name="ref-bort2014there"/>
      <w:bookmarkEnd w:id="73"/>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74" w:name="ref-boyd2012critical"/>
      <w:bookmarkEnd w:id="74"/>
    </w:p>
    <w:p>
      <w:pPr>
        <w:pStyle w:val="Bibliography"/>
        <w:rPr/>
      </w:pPr>
      <w:r>
        <w:rPr/>
        <w:t xml:space="preserve">Brunelli, M. (2011). Will your organization benefit from ’big data’ processing technology? </w:t>
      </w:r>
      <w:r>
        <w:rPr>
          <w:i/>
        </w:rPr>
        <w:t>Available online at searchdatamanagement. techtarget. com/news/2240036228/Will-your-organization-benefit-from-big-data-processing-technology (last accessed December 29, 2016)</w:t>
      </w:r>
      <w:r>
        <w:rPr/>
        <w:t>.</w:t>
      </w:r>
      <w:bookmarkStart w:id="75" w:name="ref-brunnelli2011will"/>
      <w:bookmarkEnd w:id="75"/>
    </w:p>
    <w:p>
      <w:pPr>
        <w:pStyle w:val="Bibliography"/>
        <w:rPr/>
      </w:pPr>
      <w:r>
        <w:rPr/>
        <w:t xml:space="preserve">Burghardt, D., Duchêne, C., &amp; Mackaness, W. (2016). </w:t>
      </w:r>
      <w:r>
        <w:rPr>
          <w:i/>
        </w:rPr>
        <w:t>Abstracting geographic information in a data rich world</w:t>
      </w:r>
      <w:r>
        <w:rPr/>
        <w:t>. Springer.</w:t>
      </w:r>
      <w:bookmarkStart w:id="76" w:name="ref-burghardt2016abstracting"/>
      <w:bookmarkEnd w:id="76"/>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77" w:name="ref-chen2019deep"/>
      <w:bookmarkEnd w:id="77"/>
    </w:p>
    <w:p>
      <w:pPr>
        <w:pStyle w:val="Bibliography"/>
        <w:rPr/>
      </w:pPr>
      <w:r>
        <w:rPr/>
        <w:t xml:space="preserve">Clarke, V., &amp; Pickles, R. (2015). </w:t>
      </w:r>
      <w:r>
        <w:rPr>
          <w:i/>
        </w:rPr>
        <w:t>Map: Exploring the world</w:t>
      </w:r>
      <w:r>
        <w:rPr/>
        <w:t>. Phaidon Press Limited.</w:t>
      </w:r>
      <w:bookmarkStart w:id="78" w:name="ref-clarke2015map"/>
      <w:bookmarkEnd w:id="78"/>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79" w:name="ref-correll2017surprise"/>
      <w:bookmarkEnd w:id="79"/>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80" w:name="ref-correll2018value"/>
      <w:bookmarkEnd w:id="80"/>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81" w:name="ref-crampton2015collect"/>
      <w:bookmarkEnd w:id="81"/>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82" w:name="ref-crampton2013beyond"/>
      <w:bookmarkEnd w:id="82"/>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83" w:name="ref-csikszentmihalyi1997flow"/>
      <w:bookmarkEnd w:id="83"/>
    </w:p>
    <w:p>
      <w:pPr>
        <w:pStyle w:val="Bibliography"/>
        <w:rPr/>
      </w:pPr>
      <w:r>
        <w:rPr/>
        <w:t xml:space="preserve">Davenport, T. (2014). </w:t>
      </w:r>
      <w:r>
        <w:rPr>
          <w:i/>
        </w:rPr>
        <w:t>Big data at work: Dispelling the myths, uncovering the opportunities</w:t>
      </w:r>
      <w:r>
        <w:rPr/>
        <w:t>. Harvard Business Review Press.</w:t>
      </w:r>
      <w:bookmarkStart w:id="84" w:name="ref-davenport2014big"/>
      <w:bookmarkEnd w:id="84"/>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85" w:name="ref-demchenko2014defining"/>
      <w:bookmarkEnd w:id="85"/>
    </w:p>
    <w:p>
      <w:pPr>
        <w:pStyle w:val="Bibliography"/>
        <w:rPr/>
      </w:pPr>
      <w:r>
        <w:rPr/>
        <w:t xml:space="preserve">Dennett, D. C. (2017). </w:t>
      </w:r>
      <w:r>
        <w:rPr>
          <w:i/>
        </w:rPr>
        <w:t>From bacteria to bach and back: The evolution of minds</w:t>
      </w:r>
      <w:r>
        <w:rPr/>
        <w:t>. WW Norton &amp; Company.</w:t>
      </w:r>
      <w:bookmarkStart w:id="86" w:name="ref-dennett2017bacteria"/>
      <w:bookmarkEnd w:id="86"/>
    </w:p>
    <w:p>
      <w:pPr>
        <w:pStyle w:val="Bibliography"/>
        <w:rPr/>
      </w:pPr>
      <w:r>
        <w:rPr/>
        <w:t>Diebold, F. X., Cheng, X., Diebold, S., Foster, D., Halperin, M., Lohr, S., Mashey, J., et al. (2012). A personal perspective on the origin (s) and development of “big data”: The phenomenon, the term, and the discipline∗. Citeseer.</w:t>
      </w:r>
      <w:bookmarkStart w:id="87" w:name="ref-diebold2012personal"/>
      <w:bookmarkEnd w:id="87"/>
    </w:p>
    <w:p>
      <w:pPr>
        <w:pStyle w:val="Bibliography"/>
        <w:rPr/>
      </w:pPr>
      <w:r>
        <w:rPr/>
        <w:t xml:space="preserve">Diehm, C. (2018). On weaponised design. </w:t>
      </w:r>
      <w:r>
        <w:rPr>
          <w:i/>
        </w:rPr>
        <w:t>Available online at https://ourdataourselves.tacticaltech.org/posts/30-on-weaponised-design/ (last accessed September 16, 2018)</w:t>
      </w:r>
      <w:r>
        <w:rPr/>
        <w:t>.</w:t>
      </w:r>
      <w:bookmarkStart w:id="88" w:name="ref-diehm2018weaponised"/>
      <w:bookmarkEnd w:id="88"/>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89" w:name="ref-d2017creative"/>
      <w:bookmarkEnd w:id="89"/>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90" w:name="ref-dodge2005codes"/>
      <w:bookmarkEnd w:id="90"/>
    </w:p>
    <w:p>
      <w:pPr>
        <w:pStyle w:val="Bibliography"/>
        <w:rPr/>
      </w:pPr>
      <w:r>
        <w:rPr/>
        <w:t xml:space="preserve">Eberhardt, Colin. (2020). Rendering One Million Datapoints with D3 and WebGL. </w:t>
      </w:r>
      <w:hyperlink r:id="rId59">
        <w:r>
          <w:rPr>
            <w:rStyle w:val="InternetLink"/>
          </w:rPr>
          <w:t>https://blog.scottlogic.com/2020/05/01/rendering-one-million-points-with-d3.html</w:t>
        </w:r>
      </w:hyperlink>
      <w:r>
        <w:rPr/>
        <w:t>.</w:t>
      </w:r>
      <w:bookmarkStart w:id="91" w:name="ref-eberhardt2020rendering"/>
      <w:bookmarkEnd w:id="91"/>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92" w:name="ref-egenhofer1992object"/>
      <w:bookmarkEnd w:id="92"/>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93" w:name="ref-egenhofer1991point"/>
      <w:bookmarkEnd w:id="93"/>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94" w:name="ref-el2002spatio"/>
      <w:bookmarkEnd w:id="94"/>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95" w:name="ref-elmqvist2010hierarchical"/>
      <w:bookmarkEnd w:id="95"/>
    </w:p>
    <w:p>
      <w:pPr>
        <w:pStyle w:val="Bibliography"/>
        <w:rPr/>
      </w:pPr>
      <w:r>
        <w:rPr/>
        <w:t xml:space="preserve"> </w:t>
      </w:r>
      <w:r>
        <w:rPr/>
        <w:t xml:space="preserve">Escoffier, Erik. (2017).  How we used WebGL and Pixi.js for temporal mapping. </w:t>
      </w:r>
      <w:hyperlink r:id="rId60">
        <w:r>
          <w:rPr>
            <w:rStyle w:val="InternetLink"/>
          </w:rPr>
          <w:t>https://medium.com/vizzuality-blog/saving-the-with-how-we-used-webgl-and-pixi-js-for-temporal-mapping-2cffaed60b91</w:t>
        </w:r>
      </w:hyperlink>
      <w:r>
        <w:rPr/>
        <w:t>.</w:t>
      </w:r>
      <w:bookmarkStart w:id="96" w:name="ref-escoffier2017how"/>
      <w:bookmarkEnd w:id="96"/>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97" w:name="ref-fan2014challenges"/>
      <w:bookmarkEnd w:id="97"/>
    </w:p>
    <w:p>
      <w:pPr>
        <w:pStyle w:val="Bibliography"/>
        <w:rPr/>
      </w:pPr>
      <w:r>
        <w:rPr/>
        <w:t xml:space="preserve">Fischer, D. (2015). Why exploring big data is hard and what we can do about it. </w:t>
      </w:r>
      <w:r>
        <w:rPr>
          <w:i/>
        </w:rPr>
        <w:t>Available online at www. youtube. com/watch?v=UP5412nU2lI (last accessed December 29, 2016)</w:t>
      </w:r>
      <w:r>
        <w:rPr/>
        <w:t>.</w:t>
      </w:r>
      <w:bookmarkStart w:id="98" w:name="ref-fischer2015why"/>
      <w:bookmarkEnd w:id="98"/>
    </w:p>
    <w:p>
      <w:pPr>
        <w:pStyle w:val="Bibliography"/>
        <w:rPr/>
      </w:pPr>
      <w:r>
        <w:rPr/>
        <w:t xml:space="preserve">Fisher, D., &amp; Meyer, M. (2017). </w:t>
      </w:r>
      <w:r>
        <w:rPr>
          <w:i/>
        </w:rPr>
        <w:t>Making data visual: A practical guide to using visualization for insight</w:t>
      </w:r>
      <w:r>
        <w:rPr/>
        <w:t>. " O’Reilly Media, Inc.".</w:t>
      </w:r>
      <w:bookmarkStart w:id="99" w:name="ref-fisher2017making"/>
      <w:bookmarkEnd w:id="99"/>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00" w:name="ref-fisher2012trust"/>
      <w:bookmarkEnd w:id="100"/>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01" w:name="ref-florescu2014will"/>
      <w:bookmarkEnd w:id="101"/>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02" w:name="ref-frank1998different"/>
      <w:bookmarkEnd w:id="102"/>
    </w:p>
    <w:p>
      <w:pPr>
        <w:pStyle w:val="Bibliography"/>
        <w:rPr/>
      </w:pPr>
      <w:r>
        <w:rPr/>
        <w:t>Galton, A. (2012). States, processes and events, and the ontology of causal relations. IOS Press.</w:t>
      </w:r>
      <w:bookmarkStart w:id="103" w:name="ref-galton2012states"/>
      <w:bookmarkEnd w:id="103"/>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04" w:name="ref-gandomi2015beyond"/>
      <w:bookmarkEnd w:id="104"/>
    </w:p>
    <w:p>
      <w:pPr>
        <w:pStyle w:val="Bibliography"/>
        <w:rPr/>
      </w:pPr>
      <w:r>
        <w:rPr/>
        <w:t xml:space="preserve">Gantz, J., &amp; Reinsel, D. (2011). Extracting value from chaos. </w:t>
      </w:r>
      <w:r>
        <w:rPr>
          <w:i/>
        </w:rPr>
        <w:t>IDC iview</w:t>
      </w:r>
      <w:r>
        <w:rPr/>
        <w:t xml:space="preserve">, </w:t>
      </w:r>
      <w:r>
        <w:rPr>
          <w:i/>
        </w:rPr>
        <w:t>1142</w:t>
      </w:r>
      <w:r>
        <w:rPr/>
        <w:t>(2011), 1–12.</w:t>
      </w:r>
      <w:bookmarkStart w:id="105" w:name="ref-gantz2011extracting"/>
      <w:bookmarkEnd w:id="105"/>
    </w:p>
    <w:p>
      <w:pPr>
        <w:pStyle w:val="Bibliography"/>
        <w:rPr/>
      </w:pPr>
      <w:r>
        <w:rPr/>
        <w:t xml:space="preserve">Gartner. (2018a). What is big data? - gartner it glossary. </w:t>
      </w:r>
      <w:r>
        <w:rPr>
          <w:i/>
        </w:rPr>
        <w:t>Available online at https://www.gartner.com/it-glossary/big-data/ (last accessed October 26, 2018)</w:t>
      </w:r>
      <w:r>
        <w:rPr/>
        <w:t>.</w:t>
      </w:r>
      <w:bookmarkStart w:id="106" w:name="ref-gartner2018what"/>
      <w:bookmarkEnd w:id="106"/>
    </w:p>
    <w:p>
      <w:pPr>
        <w:pStyle w:val="Bibliography"/>
        <w:rPr/>
      </w:pPr>
      <w:r>
        <w:rPr/>
        <w:t xml:space="preserve">Gartner. (2018b). Gartner special reports. </w:t>
      </w:r>
      <w:r>
        <w:rPr>
          <w:i/>
        </w:rPr>
        <w:t>Available online at https://www.gartner.com/en/products/special-reports (last accessed August 26, 2018)</w:t>
      </w:r>
      <w:r>
        <w:rPr/>
        <w:t>.</w:t>
      </w:r>
      <w:bookmarkStart w:id="107" w:name="ref-gartner2018"/>
      <w:bookmarkEnd w:id="107"/>
    </w:p>
    <w:p>
      <w:pPr>
        <w:pStyle w:val="Bibliography"/>
        <w:rPr/>
      </w:pPr>
      <w:r>
        <w:rPr/>
        <w:t xml:space="preserve">giscloud. (2010). Realtime map tile rendering benchmark: Vector tiles vs. Raster tiles. </w:t>
      </w:r>
      <w:r>
        <w:rPr>
          <w:i/>
        </w:rPr>
        <w:t>Available online at https://www.giscloud.com/blog/realtime-map-tile-rendering-benchmark-rasters-vs-vectors/ (last accessed October 26, 2020)</w:t>
      </w:r>
      <w:r>
        <w:rPr/>
        <w:t>.</w:t>
      </w:r>
      <w:bookmarkStart w:id="108" w:name="ref-giscloud2010realtime"/>
      <w:bookmarkEnd w:id="108"/>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09" w:name="ref-gonzalez2013big"/>
      <w:bookmarkEnd w:id="109"/>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10" w:name="ref-goodchild2007citizens"/>
      <w:bookmarkEnd w:id="110"/>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11" w:name="ref-goodchild2013quality"/>
      <w:bookmarkEnd w:id="111"/>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12" w:name="ref-gorman2013danger"/>
      <w:bookmarkEnd w:id="112"/>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13" w:name="ref-graham2013geography"/>
      <w:bookmarkEnd w:id="113"/>
    </w:p>
    <w:p>
      <w:pPr>
        <w:pStyle w:val="Bibliography"/>
        <w:rPr/>
      </w:pPr>
      <w:r>
        <w:rPr/>
        <w:t xml:space="preserve">Gray, J., Chambers, L., &amp; Bounegru, L. (2012). </w:t>
      </w:r>
      <w:r>
        <w:rPr>
          <w:i/>
        </w:rPr>
        <w:t>The data journalism handbook: How journalists can use data to improve the news</w:t>
      </w:r>
      <w:r>
        <w:rPr/>
        <w:t>. " O’Reilly Media, Inc.".</w:t>
      </w:r>
      <w:bookmarkStart w:id="114" w:name="ref-gray2012data"/>
      <w:bookmarkEnd w:id="114"/>
    </w:p>
    <w:p>
      <w:pPr>
        <w:pStyle w:val="Bibliography"/>
        <w:rPr/>
      </w:pPr>
      <w:r>
        <w:rPr/>
        <w:t xml:space="preserve">Grünreich, D. (1985). Computer-assisted generalisation. </w:t>
      </w:r>
      <w:r>
        <w:rPr>
          <w:i/>
        </w:rPr>
        <w:t>Papers CERCO-Cartography Course</w:t>
      </w:r>
      <w:r>
        <w:rPr/>
        <w:t>. Frankfurt am Main, Institut für Angewandte Geodäsie.</w:t>
      </w:r>
      <w:bookmarkStart w:id="115" w:name="ref-grunreich1985computer"/>
      <w:bookmarkEnd w:id="115"/>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16" w:name="ref-guo2006visualization"/>
      <w:bookmarkEnd w:id="116"/>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17" w:name="ref-hahmann201180"/>
      <w:bookmarkEnd w:id="117"/>
    </w:p>
    <w:p>
      <w:pPr>
        <w:pStyle w:val="Bibliography"/>
        <w:rPr/>
      </w:pPr>
      <w:r>
        <w:rPr/>
        <w:t xml:space="preserve">Han, J., Pei, J., &amp; Kamber, M. (2011). </w:t>
      </w:r>
      <w:r>
        <w:rPr>
          <w:i/>
        </w:rPr>
        <w:t>Data mining: Concepts and techniques</w:t>
      </w:r>
      <w:r>
        <w:rPr/>
        <w:t>. Elsevier.</w:t>
      </w:r>
      <w:bookmarkStart w:id="118" w:name="ref-han2011data"/>
      <w:bookmarkEnd w:id="118"/>
    </w:p>
    <w:p>
      <w:pPr>
        <w:pStyle w:val="Bibliography"/>
        <w:rPr/>
      </w:pPr>
      <w:r>
        <w:rPr/>
        <w:t xml:space="preserve">Hazelton, N. (1992). Developments in spatio-temporal gis. In </w:t>
      </w:r>
      <w:r>
        <w:rPr>
          <w:i/>
        </w:rPr>
        <w:t>Proceedings of the first regional conference on gis research in victoria and tasmania</w:t>
      </w:r>
      <w:r>
        <w:rPr/>
        <w:t>.</w:t>
      </w:r>
      <w:bookmarkStart w:id="119" w:name="ref-hazelton1992developments"/>
      <w:bookmarkEnd w:id="119"/>
    </w:p>
    <w:p>
      <w:pPr>
        <w:pStyle w:val="Bibliography"/>
        <w:rPr/>
      </w:pPr>
      <w:r>
        <w:rPr/>
        <w:t xml:space="preserve">Head, S. (2014). Worse than wal-mart: Amazon’s sick brutality and secret history of ruthlessly intimidating workers. </w:t>
      </w:r>
      <w:r>
        <w:rPr>
          <w:i/>
        </w:rPr>
        <w:t>Salon</w:t>
      </w:r>
      <w:r>
        <w:rPr/>
        <w:t>.</w:t>
      </w:r>
      <w:bookmarkStart w:id="120" w:name="ref-head2014worse"/>
      <w:bookmarkEnd w:id="120"/>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21" w:name="ref-heer2008design"/>
      <w:bookmarkEnd w:id="121"/>
    </w:p>
    <w:p>
      <w:pPr>
        <w:pStyle w:val="Bibliography"/>
        <w:rPr/>
      </w:pPr>
      <w:r>
        <w:rPr/>
        <w:t xml:space="preserve">Hellerstein, J. M., Haas, P. J., &amp; Wang, H. J. (1997). Online aggregation. In </w:t>
      </w:r>
      <w:r>
        <w:rPr>
          <w:i/>
        </w:rPr>
        <w:t>Acm sigmod record</w:t>
      </w:r>
      <w:r>
        <w:rPr/>
        <w:t xml:space="preserve"> (Vol. 26, pp. 171–182). ACM.</w:t>
      </w:r>
      <w:bookmarkStart w:id="122" w:name="ref-hellerstein1997online"/>
      <w:bookmarkEnd w:id="122"/>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23" w:name="ref-helles2013making"/>
      <w:bookmarkEnd w:id="123"/>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24" w:name="ref-herland2014review"/>
      <w:bookmarkEnd w:id="124"/>
    </w:p>
    <w:p>
      <w:pPr>
        <w:pStyle w:val="Bibliography"/>
        <w:rPr/>
      </w:pPr>
      <w:r>
        <w:rPr/>
        <w:t xml:space="preserve">Heuer, R. J. (1999). </w:t>
      </w:r>
      <w:r>
        <w:rPr>
          <w:i/>
        </w:rPr>
        <w:t>Psychology of intelligence analysis</w:t>
      </w:r>
      <w:r>
        <w:rPr/>
        <w:t>. Center for the Study of Intelligence.</w:t>
      </w:r>
      <w:bookmarkStart w:id="125" w:name="ref-heuer1999psychology"/>
      <w:bookmarkEnd w:id="125"/>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26" w:name="ref-hilbert2011world"/>
      <w:bookmarkEnd w:id="126"/>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27" w:name="ref-hilbert2012measure"/>
      <w:bookmarkEnd w:id="127"/>
    </w:p>
    <w:p>
      <w:pPr>
        <w:pStyle w:val="Bibliography"/>
        <w:rPr/>
      </w:pPr>
      <w:r>
        <w:rPr/>
        <w:t>Hyndman, R. J. (1995). The problem with sturges rule for constructing histograms. Citeseer.</w:t>
      </w:r>
      <w:bookmarkStart w:id="128" w:name="ref-hyndman1995problem"/>
      <w:bookmarkEnd w:id="128"/>
    </w:p>
    <w:p>
      <w:pPr>
        <w:pStyle w:val="Bibliography"/>
        <w:rPr/>
      </w:pPr>
      <w:r>
        <w:rPr/>
        <w:t xml:space="preserve">IDC. (2020). IDC’s global datasphere forecast shows continued steady growth in the creation and consumption of data. </w:t>
      </w:r>
      <w:hyperlink r:id="rId61">
        <w:r>
          <w:rPr>
            <w:rStyle w:val="InternetLink"/>
          </w:rPr>
          <w:t>https://www.idc.com/getdoc.jsp?containerId=prUS46286020</w:t>
        </w:r>
      </w:hyperlink>
      <w:r>
        <w:rPr/>
        <w:t>.</w:t>
      </w:r>
      <w:bookmarkStart w:id="129" w:name="ref-idc2020global"/>
      <w:bookmarkEnd w:id="129"/>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30" w:name="ref-jiang2018spatial"/>
      <w:bookmarkEnd w:id="130"/>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31" w:name="ref-jiang2016fractal"/>
      <w:bookmarkEnd w:id="131"/>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32" w:name="ref-jiang2018complex"/>
      <w:bookmarkEnd w:id="132"/>
    </w:p>
    <w:p>
      <w:pPr>
        <w:pStyle w:val="Bibliography"/>
        <w:rPr/>
      </w:pPr>
      <w:r>
        <w:rPr/>
        <w:t xml:space="preserve">Jiang, Z., &amp; Shekhar, S. (2017). </w:t>
      </w:r>
      <w:r>
        <w:rPr>
          <w:i/>
        </w:rPr>
        <w:t>Spatial big data science: Classification techniques for earth observation imagery</w:t>
      </w:r>
      <w:r>
        <w:rPr/>
        <w:t>. Springer.</w:t>
      </w:r>
      <w:bookmarkStart w:id="133" w:name="ref-jiang2017spatial"/>
      <w:bookmarkEnd w:id="133"/>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34" w:name="ref-jin2015significance"/>
      <w:bookmarkEnd w:id="134"/>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35" w:name="ref-jung1995knowledge"/>
      <w:bookmarkEnd w:id="135"/>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36" w:name="ref-kabakchieva2015big"/>
      <w:bookmarkEnd w:id="136"/>
    </w:p>
    <w:p>
      <w:pPr>
        <w:pStyle w:val="Bibliography"/>
        <w:rPr/>
      </w:pPr>
      <w:r>
        <w:rPr/>
        <w:t xml:space="preserve">Kahneman, D. (2011). </w:t>
      </w:r>
      <w:r>
        <w:rPr>
          <w:i/>
        </w:rPr>
        <w:t>Thinking, fast and slow</w:t>
      </w:r>
      <w:r>
        <w:rPr/>
        <w:t>. Macmillan.</w:t>
      </w:r>
      <w:bookmarkStart w:id="137" w:name="ref-kahneman2011thinking"/>
      <w:bookmarkEnd w:id="137"/>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38" w:name="ref-kale2020visual"/>
      <w:bookmarkEnd w:id="138"/>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39" w:name="ref-kambatla2014trends"/>
      <w:bookmarkEnd w:id="139"/>
    </w:p>
    <w:p>
      <w:pPr>
        <w:pStyle w:val="Bibliography"/>
        <w:rPr/>
      </w:pPr>
      <w:r>
        <w:rPr/>
        <w:t xml:space="preserve">Kayyali, B., Knott, D., &amp; Van Kuiken, S. (2013). The big-data revolution in us health care: Accelerating value and innovation. </w:t>
      </w:r>
      <w:r>
        <w:rPr>
          <w:i/>
        </w:rPr>
        <w:t>Mc Kinsey &amp; Company</w:t>
      </w:r>
      <w:r>
        <w:rPr/>
        <w:t>, 1–13.</w:t>
      </w:r>
      <w:bookmarkStart w:id="140" w:name="ref-kayyali2013big"/>
      <w:bookmarkEnd w:id="140"/>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41" w:name="ref-keim2008visual"/>
      <w:bookmarkEnd w:id="141"/>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42" w:name="ref-kitchin2013big"/>
      <w:bookmarkEnd w:id="142"/>
    </w:p>
    <w:p>
      <w:pPr>
        <w:pStyle w:val="Bibliography"/>
        <w:rPr/>
      </w:pPr>
      <w:r>
        <w:rPr/>
        <w:t xml:space="preserve">Kitchin, R. (2014). </w:t>
      </w:r>
      <w:r>
        <w:rPr>
          <w:i/>
        </w:rPr>
        <w:t>The data revolution: Big data, open data, data infrastructures and their consequences</w:t>
      </w:r>
      <w:r>
        <w:rPr/>
        <w:t>. Sage.</w:t>
      </w:r>
      <w:bookmarkStart w:id="143" w:name="ref-kitchin2014data"/>
      <w:bookmarkEnd w:id="143"/>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44" w:name="ref-kitchin2015opportunities"/>
      <w:bookmarkEnd w:id="144"/>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45" w:name="ref-kitchin2016makes"/>
      <w:bookmarkEnd w:id="145"/>
    </w:p>
    <w:p>
      <w:pPr>
        <w:pStyle w:val="Bibliography"/>
        <w:rPr/>
      </w:pPr>
      <w:r>
        <w:rPr/>
        <w:t xml:space="preserve">Klanten, R., Ehmann, S., Bourquin, N., &amp; Tissot, T. (2010). </w:t>
      </w:r>
      <w:r>
        <w:rPr>
          <w:i/>
        </w:rPr>
        <w:t>Data flow: Visualising information in graphic design</w:t>
      </w:r>
      <w:r>
        <w:rPr/>
        <w:t>. Gestalten.</w:t>
      </w:r>
      <w:bookmarkStart w:id="146" w:name="ref-klanten2010data"/>
      <w:bookmarkEnd w:id="146"/>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147" w:name="ref-kreye2015moores"/>
      <w:bookmarkEnd w:id="147"/>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148" w:name="ref-laney20013d"/>
      <w:bookmarkEnd w:id="148"/>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149" w:name="ref-laube2007movement"/>
      <w:bookmarkEnd w:id="149"/>
    </w:p>
    <w:p>
      <w:pPr>
        <w:pStyle w:val="Bibliography"/>
        <w:rPr/>
      </w:pPr>
      <w:r>
        <w:rPr/>
        <w:t xml:space="preserve">Leaver, Dave. (2020). Leaflet.MarkerCluster. </w:t>
      </w:r>
      <w:hyperlink r:id="rId62">
        <w:r>
          <w:rPr>
            <w:rStyle w:val="InternetLink"/>
          </w:rPr>
          <w:t>https://github.com/adammertel/Leaflet.MarkerCluster.PlacementStrategies</w:t>
        </w:r>
      </w:hyperlink>
      <w:r>
        <w:rPr/>
        <w:t>.</w:t>
      </w:r>
      <w:bookmarkStart w:id="150" w:name="ref-leaver2020leaflet"/>
      <w:bookmarkEnd w:id="150"/>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151" w:name="ref-lee2015geospatial"/>
      <w:bookmarkEnd w:id="151"/>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152" w:name="ref-leszczynski2016introduction"/>
      <w:bookmarkEnd w:id="152"/>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153" w:name="ref-lewis2015big"/>
      <w:bookmarkEnd w:id="153"/>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154" w:name="ref-li2016geospatial"/>
      <w:bookmarkEnd w:id="154"/>
    </w:p>
    <w:p>
      <w:pPr>
        <w:pStyle w:val="Bibliography"/>
        <w:rPr/>
      </w:pPr>
      <w:r>
        <w:rPr/>
        <w:t>Lima, M. (2011). Visual complexity. Mapping patterns of information. Princeton: Princeton Architectural Press.</w:t>
      </w:r>
      <w:bookmarkStart w:id="155" w:name="ref-lima2011visual"/>
      <w:bookmarkEnd w:id="155"/>
    </w:p>
    <w:p>
      <w:pPr>
        <w:pStyle w:val="Bibliography"/>
        <w:rPr/>
      </w:pPr>
      <w:r>
        <w:rPr/>
        <w:t xml:space="preserve">Lipton, Z. C., &amp; Steinhardt, J. (2018). Troubling trends in machine learning scholarship. </w:t>
      </w:r>
      <w:r>
        <w:rPr>
          <w:i/>
        </w:rPr>
        <w:t>arXiv preprint arXiv:1807.03341</w:t>
      </w:r>
      <w:r>
        <w:rPr/>
        <w:t>.</w:t>
      </w:r>
      <w:bookmarkStart w:id="156" w:name="ref-lipton2018troubling"/>
      <w:bookmarkEnd w:id="156"/>
    </w:p>
    <w:p>
      <w:pPr>
        <w:pStyle w:val="Bibliography"/>
        <w:rPr/>
      </w:pPr>
      <w:r>
        <w:rPr/>
        <w:t xml:space="preserve">Lumley, Thomas. (2015).  Multi-class hexbins. </w:t>
      </w:r>
      <w:hyperlink r:id="rId63">
        <w:r>
          <w:rPr>
            <w:rStyle w:val="InternetLink"/>
          </w:rPr>
          <w:t>https://cran.r-project.org/web/packages/hextri/vignettes/hexbin-classes.html</w:t>
        </w:r>
      </w:hyperlink>
      <w:r>
        <w:rPr/>
        <w:t>.</w:t>
      </w:r>
      <w:bookmarkStart w:id="157" w:name="ref-lumley2015multi"/>
      <w:bookmarkEnd w:id="157"/>
    </w:p>
    <w:p>
      <w:pPr>
        <w:pStyle w:val="Bibliography"/>
        <w:rPr/>
      </w:pPr>
      <w:r>
        <w:rPr/>
        <w:t xml:space="preserve">Lupton, D. (2013). Swimming or drowning in the data ocean? Thoughts on the metaphors of big data. </w:t>
      </w:r>
      <w:r>
        <w:rPr>
          <w:i/>
        </w:rPr>
        <w:t>Available online at https://simplysociology. wordpress. com/2012/10/29/swimming-or-drowning-in-the-data-ocean-thoughts-on-the-metaphors-of-big-data/ (last accessed December 29, 2016)</w:t>
      </w:r>
      <w:r>
        <w:rPr/>
        <w:t>.</w:t>
      </w:r>
      <w:bookmarkStart w:id="158" w:name="ref-lupton2013swimming"/>
      <w:bookmarkEnd w:id="158"/>
    </w:p>
    <w:p>
      <w:pPr>
        <w:pStyle w:val="Bibliography"/>
        <w:rPr/>
      </w:pPr>
      <w:r>
        <w:rPr/>
        <w:t xml:space="preserve">Lupton, D. (2015). The thirteen ps of big data. </w:t>
      </w:r>
      <w:r>
        <w:rPr>
          <w:i/>
        </w:rPr>
        <w:t>Available online at https://simplysociology. wordpress. com/2015/05/11/the-thirteen-ps-of-big-data/ (last accessed December 29, 2016)</w:t>
      </w:r>
      <w:r>
        <w:rPr/>
        <w:t>.</w:t>
      </w:r>
      <w:bookmarkStart w:id="159" w:name="ref-lupton2015thirteen"/>
      <w:bookmarkEnd w:id="159"/>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160" w:name="ref-manyika2013open"/>
      <w:bookmarkEnd w:id="160"/>
    </w:p>
    <w:p>
      <w:pPr>
        <w:pStyle w:val="Bibliography"/>
        <w:rPr/>
      </w:pPr>
      <w:r>
        <w:rPr/>
        <w:t xml:space="preserve">Mardan, A. (2017). </w:t>
      </w:r>
      <w:r>
        <w:rPr>
          <w:i/>
        </w:rPr>
        <w:t>React quickly: Painless web apps with react, jsx, redux, and graphql</w:t>
      </w:r>
      <w:r>
        <w:rPr/>
        <w:t>. Simon; Schuster.</w:t>
      </w:r>
      <w:bookmarkStart w:id="161" w:name="ref-mardan2017react"/>
      <w:bookmarkEnd w:id="161"/>
    </w:p>
    <w:p>
      <w:pPr>
        <w:pStyle w:val="Bibliography"/>
        <w:rPr/>
      </w:pPr>
      <w:r>
        <w:rPr/>
        <w:t xml:space="preserve">Marr, B. (2014). Big data: The 5 vs everyone must know. </w:t>
      </w:r>
      <w:r>
        <w:rPr>
          <w:i/>
        </w:rPr>
        <w:t>LinkedIn. Available online at www. linkedin. com/pulse/20140306073407–64875646-bigdata-the-5-vs-everyone-must-know (last accessed December 29, 2016)</w:t>
      </w:r>
      <w:r>
        <w:rPr/>
        <w:t>.</w:t>
      </w:r>
      <w:bookmarkStart w:id="162" w:name="ref-marr2014big"/>
      <w:bookmarkEnd w:id="162"/>
    </w:p>
    <w:p>
      <w:pPr>
        <w:pStyle w:val="Bibliography"/>
        <w:rPr/>
      </w:pPr>
      <w:r>
        <w:rPr/>
        <w:t xml:space="preserve">Marz, N., &amp; Warren, J. (2012). </w:t>
      </w:r>
      <w:r>
        <w:rPr>
          <w:i/>
        </w:rPr>
        <w:t>Big data: Principles and best practices of scalable realtime data systems</w:t>
      </w:r>
      <w:r>
        <w:rPr/>
        <w:t>. MEAP Edition Manning Publications Co.</w:t>
      </w:r>
      <w:bookmarkStart w:id="163" w:name="ref-marz2012big"/>
      <w:bookmarkEnd w:id="163"/>
    </w:p>
    <w:p>
      <w:pPr>
        <w:pStyle w:val="Bibliography"/>
        <w:rPr/>
      </w:pPr>
      <w:r>
        <w:rPr/>
        <w:t xml:space="preserve">Mayer-Schönberger, V., &amp; Cukier, K. (2013). </w:t>
      </w:r>
      <w:r>
        <w:rPr>
          <w:i/>
        </w:rPr>
        <w:t>Big data: A revolution that will transform how we live, work, and think</w:t>
      </w:r>
      <w:r>
        <w:rPr/>
        <w:t>. Houghton Mifflin Harcourt.</w:t>
      </w:r>
      <w:bookmarkStart w:id="164" w:name="ref-mayer2013big"/>
      <w:bookmarkEnd w:id="164"/>
    </w:p>
    <w:p>
      <w:pPr>
        <w:pStyle w:val="Bibliography"/>
        <w:rPr/>
      </w:pPr>
      <w:r>
        <w:rPr/>
        <w:t xml:space="preserve">McLaren, D., &amp; Agyeman, J. (2015). </w:t>
      </w:r>
      <w:r>
        <w:rPr>
          <w:i/>
        </w:rPr>
        <w:t>Sharing cities: A case for truly smart and sustainable cities</w:t>
      </w:r>
      <w:r>
        <w:rPr/>
        <w:t>. MIT Press.</w:t>
      </w:r>
      <w:bookmarkStart w:id="165" w:name="ref-mclaren2015sharing"/>
      <w:bookmarkEnd w:id="165"/>
    </w:p>
    <w:p>
      <w:pPr>
        <w:pStyle w:val="Bibliography"/>
        <w:rPr/>
      </w:pPr>
      <w:r>
        <w:rPr/>
        <w:t>McMaster, R. B., &amp; Shea, K. S. (1992). Generalization in digital cartography. In. Association of American Geographers Washington, DC.</w:t>
      </w:r>
      <w:bookmarkStart w:id="166" w:name="ref-mcmaster1992generalization"/>
      <w:bookmarkEnd w:id="166"/>
    </w:p>
    <w:p>
      <w:pPr>
        <w:pStyle w:val="Bibliography"/>
        <w:rPr/>
      </w:pPr>
      <w:r>
        <w:rPr/>
        <w:t xml:space="preserve">McNulty, E. (2014). Understanding big data: The seven v’s. </w:t>
      </w:r>
      <w:r>
        <w:rPr>
          <w:i/>
        </w:rPr>
        <w:t>Available online at dataconomy. com/2014/05/seven-vs-big-data/(last accessed December 29, 2016)</w:t>
      </w:r>
      <w:r>
        <w:rPr/>
        <w:t>.</w:t>
      </w:r>
      <w:bookmarkStart w:id="167" w:name="ref-mcnulty2014understanding"/>
      <w:bookmarkEnd w:id="167"/>
    </w:p>
    <w:p>
      <w:pPr>
        <w:pStyle w:val="Bibliography"/>
        <w:rPr/>
      </w:pPr>
      <w:r>
        <w:rPr/>
        <w:t xml:space="preserve">Meadows, D. H. (2008). </w:t>
      </w:r>
      <w:r>
        <w:rPr>
          <w:i/>
        </w:rPr>
        <w:t>Thinking in systems: A primer</w:t>
      </w:r>
      <w:r>
        <w:rPr/>
        <w:t>. chelsea green publishing.</w:t>
      </w:r>
      <w:bookmarkStart w:id="168" w:name="ref-meadows2008thinking"/>
      <w:bookmarkEnd w:id="168"/>
    </w:p>
    <w:p>
      <w:pPr>
        <w:pStyle w:val="Bibliography"/>
        <w:rPr/>
      </w:pPr>
      <w:r>
        <w:rPr/>
        <w:t xml:space="preserve">Mertel, Adam. (2020). Leaflet.MarkerCluster.PlacementStrategies. </w:t>
      </w:r>
      <w:hyperlink r:id="rId64">
        <w:r>
          <w:rPr>
            <w:rStyle w:val="InternetLink"/>
          </w:rPr>
          <w:t>https://github.com/adammertel/Leaflet.MarkerCluster.PlacementStrategies</w:t>
        </w:r>
      </w:hyperlink>
      <w:r>
        <w:rPr/>
        <w:t>.</w:t>
      </w:r>
      <w:bookmarkStart w:id="169" w:name="ref-mertel2020leaflet"/>
      <w:bookmarkEnd w:id="169"/>
    </w:p>
    <w:p>
      <w:pPr>
        <w:pStyle w:val="Bibliography"/>
        <w:rPr/>
      </w:pPr>
      <w:r>
        <w:rPr/>
        <w:t xml:space="preserve">Mertel, Adam. (2021).  Regular-grid-cluster plugin/library for Leaflet. </w:t>
      </w:r>
      <w:hyperlink r:id="rId65">
        <w:r>
          <w:rPr>
            <w:rStyle w:val="InternetLink"/>
          </w:rPr>
          <w:t>https://github.com/adammertel/Leaflet.RegularGridCluster</w:t>
        </w:r>
      </w:hyperlink>
      <w:r>
        <w:rPr/>
        <w:t>.</w:t>
      </w:r>
      <w:bookmarkStart w:id="170" w:name="ref-mertel2021regular"/>
      <w:bookmarkEnd w:id="170"/>
    </w:p>
    <w:p>
      <w:pPr>
        <w:pStyle w:val="Bibliography"/>
        <w:rPr/>
      </w:pPr>
      <w:r>
        <w:rPr/>
        <w:t xml:space="preserve">Miller, H. J. (2015). Spatio-temporal knowledge discovery. </w:t>
      </w:r>
      <w:r>
        <w:rPr>
          <w:i/>
        </w:rPr>
        <w:t>Geocomputation: A Practical Primer. SAGE Publications Ltd, Thousand Oaks, CA</w:t>
      </w:r>
      <w:r>
        <w:rPr/>
        <w:t>, 97–109.</w:t>
      </w:r>
      <w:bookmarkStart w:id="171" w:name="ref-miller2015spatio"/>
      <w:bookmarkEnd w:id="171"/>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172" w:name="ref-moore2006cramming"/>
      <w:bookmarkEnd w:id="172"/>
    </w:p>
    <w:p>
      <w:pPr>
        <w:pStyle w:val="Bibliography"/>
        <w:rPr/>
      </w:pPr>
      <w:r>
        <w:rPr/>
        <w:t xml:space="preserve">Morais, C. D. (2012). Where is the phrase “80% of data is geographic” from. </w:t>
      </w:r>
      <w:r>
        <w:rPr>
          <w:i/>
        </w:rPr>
        <w:t>Available online at https://www.gislounge.com/80-percent-data-is-geographic/ (last accessed October 26, 2018)</w:t>
      </w:r>
      <w:r>
        <w:rPr/>
        <w:t>.</w:t>
      </w:r>
      <w:bookmarkStart w:id="173" w:name="ref-morais2012phrase"/>
      <w:bookmarkEnd w:id="173"/>
    </w:p>
    <w:p>
      <w:pPr>
        <w:pStyle w:val="Bibliography"/>
        <w:rPr/>
      </w:pPr>
      <w:r>
        <w:rPr/>
        <w:t xml:space="preserve">Murthy, P., Bharadwaj, A., Subrahmanyam, P., Roy, A., &amp; Rajan, S. (2014). Big data taxonomy. </w:t>
      </w:r>
      <w:r>
        <w:rPr>
          <w:i/>
        </w:rPr>
        <w:t>Cloud Security Alliance (CSA), Tech. Rep</w:t>
      </w:r>
      <w:r>
        <w:rPr/>
        <w:t>.</w:t>
      </w:r>
      <w:bookmarkStart w:id="174" w:name="ref-murthy2014big"/>
      <w:bookmarkEnd w:id="174"/>
    </w:p>
    <w:p>
      <w:pPr>
        <w:pStyle w:val="Bibliography"/>
        <w:rPr/>
      </w:pPr>
      <w:r>
        <w:rPr/>
        <w:t xml:space="preserve">Network, C. A. (2018). Creative applications network. </w:t>
      </w:r>
      <w:r>
        <w:rPr>
          <w:i/>
        </w:rPr>
        <w:t>Available online at http://www.creativeapplications.net/ (last accessed May 30, 2018)</w:t>
      </w:r>
      <w:r>
        <w:rPr/>
        <w:t>.</w:t>
      </w:r>
      <w:bookmarkStart w:id="175" w:name="ref-creative2018"/>
      <w:bookmarkEnd w:id="175"/>
    </w:p>
    <w:p>
      <w:pPr>
        <w:pStyle w:val="Bibliography"/>
        <w:rPr/>
      </w:pPr>
      <w:r>
        <w:rPr/>
        <w:t xml:space="preserve">Networking, C. V. (2018). Cisco global cloud index: Forecast and methodology, 2016-2021. White paper. </w:t>
      </w:r>
      <w:r>
        <w:rPr>
          <w:i/>
        </w:rPr>
        <w:t>Cisco Public, San Jose</w:t>
      </w:r>
      <w:r>
        <w:rPr/>
        <w:t>.</w:t>
      </w:r>
      <w:bookmarkStart w:id="176" w:name="ref-networking2018cisco"/>
      <w:bookmarkEnd w:id="176"/>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177" w:name="ref-nobre2017scientific"/>
      <w:bookmarkEnd w:id="177"/>
    </w:p>
    <w:p>
      <w:pPr>
        <w:pStyle w:val="Bibliography"/>
        <w:rPr/>
      </w:pPr>
      <w:r>
        <w:rPr/>
        <w:t xml:space="preserve">Norman, D. (2013). </w:t>
      </w:r>
      <w:r>
        <w:rPr>
          <w:i/>
        </w:rPr>
        <w:t>The design of everyday things: Revised and expanded edition</w:t>
      </w:r>
      <w:r>
        <w:rPr/>
        <w:t>. Basic books.</w:t>
      </w:r>
      <w:bookmarkStart w:id="178" w:name="ref-norman2013design"/>
      <w:bookmarkEnd w:id="178"/>
    </w:p>
    <w:p>
      <w:pPr>
        <w:pStyle w:val="Bibliography"/>
        <w:rPr/>
      </w:pPr>
      <w:r>
        <w:rPr/>
        <w:t xml:space="preserve">Norman, D. A. (2016). </w:t>
      </w:r>
      <w:r>
        <w:rPr>
          <w:i/>
        </w:rPr>
        <w:t>Living with complexity</w:t>
      </w:r>
      <w:r>
        <w:rPr/>
        <w:t>. MIT press.</w:t>
      </w:r>
      <w:bookmarkStart w:id="179" w:name="ref-norman2016living"/>
      <w:bookmarkEnd w:id="179"/>
    </w:p>
    <w:p>
      <w:pPr>
        <w:pStyle w:val="Bibliography"/>
        <w:rPr/>
      </w:pPr>
      <w:r>
        <w:rPr/>
        <w:t xml:space="preserve">Norvig, P. (2011). The unreasonable effectiveness of data - ubc distinguished lecture series. </w:t>
      </w:r>
      <w:r>
        <w:rPr>
          <w:i/>
        </w:rPr>
        <w:t>Available online at https://www.youtube.com/watch?v=yvDCzhbjYWs (last accessed May 30, 2018)</w:t>
      </w:r>
      <w:r>
        <w:rPr/>
        <w:t>.</w:t>
      </w:r>
      <w:bookmarkStart w:id="180" w:name="ref-norvig2011unreasonable"/>
      <w:bookmarkEnd w:id="180"/>
    </w:p>
    <w:p>
      <w:pPr>
        <w:pStyle w:val="Bibliography"/>
        <w:rPr/>
      </w:pPr>
      <w:r>
        <w:rPr/>
        <w:t xml:space="preserve">Norvig, P. (2012). Warning signs in experimental design and interpretation. </w:t>
      </w:r>
      <w:r>
        <w:rPr>
          <w:i/>
        </w:rPr>
        <w:t>Available online at https://norvig.com/experiment-design.html (last accessed May 30, 2020)</w:t>
      </w:r>
      <w:r>
        <w:rPr/>
        <w:t>.</w:t>
      </w:r>
      <w:bookmarkStart w:id="181" w:name="ref-norvig2012warning"/>
      <w:bookmarkEnd w:id="181"/>
    </w:p>
    <w:p>
      <w:pPr>
        <w:pStyle w:val="Bibliography"/>
        <w:rPr/>
      </w:pPr>
      <w:r>
        <w:rPr/>
        <w:t xml:space="preserve">Nunberg, G. (2013). "The data are": How fetishism makes us stupid. </w:t>
      </w:r>
      <w:r>
        <w:rPr>
          <w:i/>
        </w:rPr>
        <w:t>Available online at http://languagelog.ldc.upenn.edu/nll/?p=4396 (last accessed September 26, 2018)</w:t>
      </w:r>
      <w:r>
        <w:rPr/>
        <w:t>.</w:t>
      </w:r>
      <w:bookmarkStart w:id="182" w:name="ref-nunberg2013data"/>
      <w:bookmarkEnd w:id="182"/>
    </w:p>
    <w:p>
      <w:pPr>
        <w:pStyle w:val="Bibliography"/>
        <w:rPr/>
      </w:pPr>
      <w:r>
        <w:rPr/>
        <w:t xml:space="preserve">O’Conor, K. (2017). GPU performance for game artists. </w:t>
      </w:r>
      <w:hyperlink r:id="rId66">
        <w:r>
          <w:rPr>
            <w:rStyle w:val="InternetLink"/>
          </w:rPr>
          <w:t>http://fragmentbuffer.com/gpu-performance-for-game-artists/</w:t>
        </w:r>
      </w:hyperlink>
      <w:r>
        <w:rPr/>
        <w:t>.</w:t>
      </w:r>
      <w:bookmarkStart w:id="183" w:name="ref-oconnor2017gpu"/>
      <w:bookmarkEnd w:id="183"/>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184" w:name="ref-olshannikova2015visualizing"/>
      <w:bookmarkEnd w:id="184"/>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185" w:name="ref-ott2001time"/>
      <w:bookmarkEnd w:id="185"/>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186" w:name="ref-ovadia2013role"/>
      <w:bookmarkEnd w:id="186"/>
    </w:p>
    <w:p>
      <w:pPr>
        <w:pStyle w:val="Bibliography"/>
        <w:rPr/>
      </w:pPr>
      <w:r>
        <w:rPr/>
        <w:t xml:space="preserve">Parisi, T. (2012). </w:t>
      </w:r>
      <w:r>
        <w:rPr>
          <w:i/>
        </w:rPr>
        <w:t>WebGL: Up and running</w:t>
      </w:r>
      <w:r>
        <w:rPr/>
        <w:t>. " O’Reilly Media, Inc.".</w:t>
      </w:r>
      <w:bookmarkStart w:id="187" w:name="ref-parisi2012webgl"/>
      <w:bookmarkEnd w:id="187"/>
    </w:p>
    <w:p>
      <w:pPr>
        <w:pStyle w:val="Bibliography"/>
        <w:rPr/>
      </w:pPr>
      <w:r>
        <w:rPr/>
        <w:t xml:space="preserve">Patel, Amit. (2020).  Hexagonal grids. </w:t>
      </w:r>
      <w:r>
        <w:rPr>
          <w:rStyle w:val="InternetLink"/>
        </w:rPr>
        <w:t>https://www.redblobgames.com/grids/hexagons/</w:t>
      </w:r>
      <w:r>
        <w:rPr/>
        <w:t>.</w:t>
      </w:r>
      <w:bookmarkStart w:id="188" w:name="ref-patel2020hexagonal"/>
      <w:bookmarkEnd w:id="188"/>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189" w:name="ref-paakkonen2015reference"/>
      <w:bookmarkEnd w:id="189"/>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190" w:name="ref-peuquet1994s"/>
      <w:bookmarkEnd w:id="190"/>
    </w:p>
    <w:p>
      <w:pPr>
        <w:pStyle w:val="Bibliography"/>
        <w:rPr/>
      </w:pPr>
      <w:r>
        <w:rPr/>
        <w:t xml:space="preserve">Pinker, S. (2015). </w:t>
      </w:r>
      <w:r>
        <w:rPr>
          <w:i/>
        </w:rPr>
        <w:t>The sense of style: The thinking person’s guide to writing in the 21st century</w:t>
      </w:r>
      <w:r>
        <w:rPr/>
        <w:t>. Penguin Books.</w:t>
      </w:r>
      <w:bookmarkStart w:id="191" w:name="ref-pinker2015sense"/>
      <w:bookmarkEnd w:id="191"/>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192" w:name="ref-puschmann2014big"/>
      <w:bookmarkEnd w:id="192"/>
    </w:p>
    <w:p>
      <w:pPr>
        <w:pStyle w:val="Bibliography"/>
        <w:rPr/>
      </w:pPr>
      <w:r>
        <w:rPr/>
        <w:t xml:space="preserve">RegionBound. (2020). Region-aware clustering. </w:t>
      </w:r>
      <w:hyperlink r:id="rId67">
        <w:r>
          <w:rPr>
            <w:rStyle w:val="InternetLink"/>
          </w:rPr>
          <w:t>https://regionbound.com/region-aware-marker-clustering-for-maps</w:t>
        </w:r>
      </w:hyperlink>
      <w:r>
        <w:rPr/>
        <w:t>.</w:t>
      </w:r>
      <w:bookmarkStart w:id="193" w:name="ref-region2020aware"/>
      <w:bookmarkEnd w:id="193"/>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194" w:name="ref-robinson2017geospatial"/>
      <w:bookmarkEnd w:id="194"/>
    </w:p>
    <w:p>
      <w:pPr>
        <w:pStyle w:val="Bibliography"/>
        <w:rPr/>
      </w:pPr>
      <w:r>
        <w:rPr/>
        <w:t xml:space="preserve">Rouse, M. (2018). Cloud computing. </w:t>
      </w:r>
      <w:r>
        <w:rPr>
          <w:i/>
        </w:rPr>
        <w:t>Available online at https://searchcloudcomputing.techtarget.com/definition/cloud-computing (last accessed May 30, 2018)</w:t>
      </w:r>
      <w:r>
        <w:rPr/>
        <w:t>.</w:t>
      </w:r>
      <w:bookmarkStart w:id="195" w:name="ref-rouse2018cloud"/>
      <w:bookmarkEnd w:id="195"/>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196" w:name="ref-sahr2003geodesic"/>
      <w:bookmarkEnd w:id="196"/>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197" w:name="ref-scott1979optimal"/>
      <w:bookmarkEnd w:id="197"/>
    </w:p>
    <w:p>
      <w:pPr>
        <w:pStyle w:val="Bibliography"/>
        <w:rPr/>
      </w:pPr>
      <w:r>
        <w:rPr/>
        <w:t xml:space="preserve">Shane, J. (2019). </w:t>
      </w:r>
      <w:r>
        <w:rPr>
          <w:i/>
        </w:rPr>
        <w:t>You look like a thing and i love you: How artificial intelligence works and why it’s making the world a weirder place</w:t>
      </w:r>
      <w:r>
        <w:rPr/>
        <w:t>. Voracious.</w:t>
      </w:r>
      <w:bookmarkStart w:id="198" w:name="ref-shane2019you"/>
      <w:bookmarkEnd w:id="198"/>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199" w:name="ref-shekhar2014benchmarking"/>
      <w:bookmarkEnd w:id="199"/>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00" w:name="ref-shekhar2012spatial"/>
      <w:bookmarkEnd w:id="200"/>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01" w:name="ref-shelton2017spatialities"/>
      <w:bookmarkEnd w:id="201"/>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02" w:name="ref-shin2015ecological"/>
      <w:bookmarkEnd w:id="202"/>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03" w:name="ref-shneiderman2003eyes"/>
      <w:bookmarkEnd w:id="203"/>
    </w:p>
    <w:p>
      <w:pPr>
        <w:pStyle w:val="Bibliography"/>
        <w:rPr/>
      </w:pPr>
      <w:r>
        <w:rPr/>
        <w:t xml:space="preserve">Siegfried, T. (2013). Why big data is bad for science. </w:t>
      </w:r>
      <w:r>
        <w:rPr>
          <w:i/>
        </w:rPr>
        <w:t>Science News</w:t>
      </w:r>
      <w:r>
        <w:rPr/>
        <w:t xml:space="preserve">, </w:t>
      </w:r>
      <w:r>
        <w:rPr>
          <w:i/>
        </w:rPr>
        <w:t>26</w:t>
      </w:r>
      <w:r>
        <w:rPr/>
        <w:t>.</w:t>
      </w:r>
      <w:bookmarkStart w:id="204" w:name="ref-siegfried2013big"/>
      <w:bookmarkEnd w:id="204"/>
    </w:p>
    <w:p>
      <w:pPr>
        <w:pStyle w:val="Bibliography"/>
        <w:rPr/>
      </w:pPr>
      <w:r>
        <w:rPr/>
        <w:t xml:space="preserve">Silver, N. (2012). </w:t>
      </w:r>
      <w:r>
        <w:rPr>
          <w:i/>
        </w:rPr>
        <w:t>The signal and the noise: Why so many predictions fail–but some don’t</w:t>
      </w:r>
      <w:r>
        <w:rPr/>
        <w:t>. Penguin.</w:t>
      </w:r>
      <w:bookmarkStart w:id="205" w:name="ref-silver2012signal"/>
      <w:bookmarkEnd w:id="205"/>
    </w:p>
    <w:p>
      <w:pPr>
        <w:pStyle w:val="Bibliography"/>
        <w:rPr/>
      </w:pPr>
      <w:r>
        <w:rPr/>
        <w:t xml:space="preserve">Stanová, M. (2016). </w:t>
      </w:r>
      <w:r>
        <w:rPr>
          <w:i/>
        </w:rPr>
        <w:t>Algorithms in art</w:t>
      </w:r>
      <w:r>
        <w:rPr/>
        <w:t>. Academy of Fine Arts in Prague &amp; CEE PhotoFund.</w:t>
      </w:r>
      <w:bookmarkStart w:id="206" w:name="ref-stanova2016algorithms"/>
      <w:bookmarkEnd w:id="206"/>
    </w:p>
    <w:p>
      <w:pPr>
        <w:pStyle w:val="Bibliography"/>
        <w:rPr/>
      </w:pPr>
      <w:r>
        <w:rPr/>
        <w:t xml:space="preserve">statista.com. (2018). Data center storage capacity worldwide from 2016 to 2021, by segment (in exabytes). </w:t>
      </w:r>
      <w:r>
        <w:rPr>
          <w:i/>
        </w:rPr>
        <w:t>Available online at https://www.statista.com/statistics/638593/worldwide-data-center-storage-capacity-cloud-vs-traditional/ (last accessed May 30, 2018)</w:t>
      </w:r>
      <w:r>
        <w:rPr/>
        <w:t>.</w:t>
      </w:r>
      <w:bookmarkStart w:id="207" w:name="ref-statista2018data"/>
      <w:bookmarkEnd w:id="207"/>
    </w:p>
    <w:p>
      <w:pPr>
        <w:pStyle w:val="Bibliography"/>
        <w:rPr/>
      </w:pPr>
      <w:r>
        <w:rPr/>
        <w:t xml:space="preserve">Stevens, S. S. (1946). On the theory of scales of measurement. </w:t>
      </w:r>
      <w:r>
        <w:rPr>
          <w:i/>
        </w:rPr>
        <w:t>Science</w:t>
      </w:r>
      <w:r>
        <w:rPr/>
        <w:t>. year.</w:t>
      </w:r>
      <w:bookmarkStart w:id="208" w:name="ref-stevens1946theory"/>
      <w:bookmarkEnd w:id="208"/>
    </w:p>
    <w:p>
      <w:pPr>
        <w:pStyle w:val="Bibliography"/>
        <w:rPr/>
      </w:pPr>
      <w:r>
        <w:rPr/>
        <w:t xml:space="preserve">Storm, D. (2012). Big data makes things better. </w:t>
      </w:r>
      <w:r>
        <w:rPr>
          <w:i/>
        </w:rPr>
        <w:t>Available online at insights. dice. com/2012/08/03/big-data-makes-things-better/ (last accessed December 29, 2016)</w:t>
      </w:r>
      <w:r>
        <w:rPr/>
        <w:t>.</w:t>
      </w:r>
      <w:bookmarkStart w:id="209" w:name="ref-storm2012big"/>
      <w:bookmarkEnd w:id="209"/>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10" w:name="ref-sturges1926choice"/>
      <w:bookmarkEnd w:id="210"/>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11" w:name="ref-suthaharan2014big"/>
      <w:bookmarkEnd w:id="211"/>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12" w:name="ref-swan2015philosophy"/>
      <w:bookmarkEnd w:id="212"/>
    </w:p>
    <w:p>
      <w:pPr>
        <w:pStyle w:val="Bibliography"/>
        <w:rPr/>
      </w:pPr>
      <w:r>
        <w:rPr/>
        <w:t xml:space="preserve">Taleb, N. N. (2007). </w:t>
      </w:r>
      <w:r>
        <w:rPr>
          <w:i/>
        </w:rPr>
        <w:t>The black swan: The impact of the highly improbable</w:t>
      </w:r>
      <w:r>
        <w:rPr/>
        <w:t xml:space="preserve"> (Vol. 2). Random house.</w:t>
      </w:r>
      <w:bookmarkStart w:id="213" w:name="ref-taleb2007black"/>
      <w:bookmarkEnd w:id="213"/>
    </w:p>
    <w:p>
      <w:pPr>
        <w:pStyle w:val="Bibliography"/>
        <w:rPr/>
      </w:pPr>
      <w:r>
        <w:rPr/>
        <w:t xml:space="preserve">Taleb, N. N. (2012). </w:t>
      </w:r>
      <w:r>
        <w:rPr>
          <w:i/>
        </w:rPr>
        <w:t>Antifragile: Things that gain from disorder</w:t>
      </w:r>
      <w:r>
        <w:rPr/>
        <w:t xml:space="preserve"> (Vol. 3). Random House Incorporated.</w:t>
      </w:r>
      <w:bookmarkStart w:id="214" w:name="ref-taleb2012antifragile"/>
      <w:bookmarkEnd w:id="214"/>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15" w:name="ref-thakuriah2017big"/>
      <w:bookmarkEnd w:id="215"/>
    </w:p>
    <w:p>
      <w:pPr>
        <w:pStyle w:val="Bibliography"/>
        <w:rPr/>
      </w:pPr>
      <w:r>
        <w:rPr/>
        <w:t xml:space="preserve">Thatcher, J., Shears, A., &amp; Eckert, J. (2018). </w:t>
      </w:r>
      <w:r>
        <w:rPr>
          <w:i/>
        </w:rPr>
        <w:t>Thinking big data in geography: New regimes, new research</w:t>
      </w:r>
      <w:r>
        <w:rPr/>
        <w:t>. U of Nebraska Press.</w:t>
      </w:r>
      <w:bookmarkStart w:id="216" w:name="ref-thatcher2018thinking"/>
      <w:bookmarkEnd w:id="216"/>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17" w:name="ref-thomas2005illuminating"/>
      <w:bookmarkEnd w:id="217"/>
    </w:p>
    <w:p>
      <w:pPr>
        <w:pStyle w:val="Bibliography"/>
        <w:rPr/>
      </w:pPr>
      <w:r>
        <w:rPr/>
        <w:t xml:space="preserve">Thompson, N. C., Greenewald, K., Lee, K., &amp; Manso, G. F. (2020). The computational limits of deep learning. </w:t>
      </w:r>
      <w:r>
        <w:rPr>
          <w:i/>
        </w:rPr>
        <w:t>arXiv preprint arXiv:2007.05558</w:t>
      </w:r>
      <w:r>
        <w:rPr/>
        <w:t>.</w:t>
      </w:r>
      <w:bookmarkStart w:id="218" w:name="ref-thompson2020computational"/>
      <w:bookmarkEnd w:id="218"/>
    </w:p>
    <w:p>
      <w:pPr>
        <w:pStyle w:val="Bibliography"/>
        <w:rPr/>
      </w:pPr>
      <w:r>
        <w:rPr/>
        <w:t xml:space="preserve">Thompson, S. A., &amp; Warzel, C. (2019). One nation, tracked. </w:t>
      </w:r>
      <w:hyperlink r:id="rId68">
        <w:r>
          <w:rPr>
            <w:rStyle w:val="InternetLink"/>
          </w:rPr>
          <w:t>https://www.nytimes.com/interactive/2019/12/19/opinion/location-tracking-cell-phone.html</w:t>
        </w:r>
      </w:hyperlink>
      <w:r>
        <w:rPr/>
        <w:t>.</w:t>
      </w:r>
      <w:bookmarkStart w:id="219" w:name="ref-thompson2019one"/>
      <w:bookmarkEnd w:id="219"/>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20" w:name="ref-tran2017extracting"/>
      <w:bookmarkEnd w:id="220"/>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21" w:name="ref-tufte1998visual"/>
      <w:bookmarkEnd w:id="221"/>
    </w:p>
    <w:p>
      <w:pPr>
        <w:pStyle w:val="Bibliography"/>
        <w:rPr/>
      </w:pPr>
      <w:r>
        <w:rPr/>
        <w:t xml:space="preserve">Turner-Trauring, I. (2020). Process large datasets without running out of memory. </w:t>
      </w:r>
      <w:r>
        <w:rPr>
          <w:i/>
        </w:rPr>
        <w:t>Available online at https://pythonspeed.com/memory/ (last accessed October 26, 2020)</w:t>
      </w:r>
      <w:r>
        <w:rPr/>
        <w:t>.</w:t>
      </w:r>
      <w:bookmarkStart w:id="222" w:name="ref-turner2020process"/>
      <w:bookmarkEnd w:id="222"/>
    </w:p>
    <w:p>
      <w:pPr>
        <w:pStyle w:val="Bibliography"/>
        <w:rPr/>
      </w:pPr>
      <w:r>
        <w:rPr/>
        <w:t xml:space="preserve">UNECE. (2013). UNECE - united nations economic commission for europe. </w:t>
      </w:r>
      <w:r>
        <w:rPr>
          <w:i/>
        </w:rPr>
        <w:t>Available online at https://statswiki.unece.org/display/bigdata/Classification+of+Types+of+Big+Data (last accessed August 26, 2018)</w:t>
      </w:r>
      <w:r>
        <w:rPr/>
        <w:t>.</w:t>
      </w:r>
      <w:bookmarkStart w:id="223" w:name="ref-unce2013"/>
      <w:bookmarkEnd w:id="223"/>
    </w:p>
    <w:p>
      <w:pPr>
        <w:pStyle w:val="Bibliography"/>
        <w:rPr/>
      </w:pPr>
      <w:r>
        <w:rPr/>
        <w:t xml:space="preserve">Uprichard, E. (2013). Focus: Big data, little questions? </w:t>
      </w:r>
      <w:r>
        <w:rPr>
          <w:i/>
        </w:rPr>
        <w:t>Discover Society</w:t>
      </w:r>
      <w:r>
        <w:rPr/>
        <w:t>, (1). Social Research Publications.</w:t>
      </w:r>
      <w:bookmarkStart w:id="224" w:name="ref-uprichard2013focus"/>
      <w:bookmarkEnd w:id="224"/>
    </w:p>
    <w:p>
      <w:pPr>
        <w:pStyle w:val="Bibliography"/>
        <w:rPr/>
      </w:pPr>
      <w:r>
        <w:rPr/>
        <w:t xml:space="preserve">Urban, T. (2013). Putting time in perspective. </w:t>
      </w:r>
      <w:hyperlink r:id="rId69">
        <w:r>
          <w:rPr>
            <w:rStyle w:val="InternetLink"/>
          </w:rPr>
          <w:t>https://waitbutwhy.com/2013/08/putting-time-in-perspective.html</w:t>
        </w:r>
      </w:hyperlink>
      <w:r>
        <w:rPr/>
        <w:t>.</w:t>
      </w:r>
      <w:bookmarkStart w:id="225" w:name="ref-urban2013putting"/>
      <w:bookmarkEnd w:id="225"/>
    </w:p>
    <w:p>
      <w:pPr>
        <w:pStyle w:val="Bibliography"/>
        <w:rPr/>
      </w:pPr>
      <w:r>
        <w:rPr/>
        <w:t xml:space="preserve">Van Rijmenam, M. (2013). Why the 3v’s are not sufficient to describe big data. </w:t>
      </w:r>
      <w:r>
        <w:rPr>
          <w:i/>
        </w:rPr>
        <w:t>Available online at http://www. bigdata-startups. com/3vs-sufficient-describe-big-data (last accessed December 29, 2016)</w:t>
      </w:r>
      <w:r>
        <w:rPr/>
        <w:t>.</w:t>
      </w:r>
      <w:bookmarkStart w:id="226" w:name="ref-van20133v"/>
      <w:bookmarkEnd w:id="226"/>
    </w:p>
    <w:p>
      <w:pPr>
        <w:pStyle w:val="Bibliography"/>
        <w:rPr/>
      </w:pPr>
      <w:r>
        <w:rPr/>
        <w:t xml:space="preserve">Van Wijk, J. J. (2005). The value of visualization. In </w:t>
      </w:r>
      <w:r>
        <w:rPr>
          <w:i/>
        </w:rPr>
        <w:t>VIS 05. IEEE visualization, 2005.</w:t>
      </w:r>
      <w:r>
        <w:rPr/>
        <w:t xml:space="preserve"> (pp. 79–86). IEEE.</w:t>
      </w:r>
      <w:bookmarkStart w:id="227" w:name="ref-van2005value"/>
      <w:bookmarkEnd w:id="227"/>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28" w:name="ref-verhein2008mining"/>
      <w:bookmarkEnd w:id="228"/>
    </w:p>
    <w:p>
      <w:pPr>
        <w:pStyle w:val="Bibliography"/>
        <w:rPr/>
      </w:pPr>
      <w:r>
        <w:rPr/>
        <w:t xml:space="preserve">Victor, B. (2017). Explorable explanations. </w:t>
      </w:r>
      <w:r>
        <w:rPr>
          <w:i/>
        </w:rPr>
        <w:t>Available online at http://worrydream.com/ExplorableExplanations/ (last accessed April 29, 2021)</w:t>
      </w:r>
      <w:r>
        <w:rPr/>
        <w:t>.</w:t>
      </w:r>
      <w:bookmarkStart w:id="229" w:name="ref-victor2011explorable"/>
      <w:bookmarkEnd w:id="229"/>
    </w:p>
    <w:p>
      <w:pPr>
        <w:pStyle w:val="Bibliography"/>
        <w:rPr/>
      </w:pPr>
      <w:r>
        <w:rPr/>
        <w:t xml:space="preserve">Vivo, P. G., &amp; Lowe, J. (2015). The book of shaders. </w:t>
      </w:r>
      <w:r>
        <w:rPr>
          <w:i/>
        </w:rPr>
        <w:t>Dosegljivo: https://thebookofshaders. com</w:t>
      </w:r>
      <w:r>
        <w:rPr/>
        <w:t>.</w:t>
      </w:r>
      <w:bookmarkStart w:id="230" w:name="ref-vivo2015book"/>
      <w:bookmarkEnd w:id="230"/>
    </w:p>
    <w:p>
      <w:pPr>
        <w:pStyle w:val="Bibliography"/>
        <w:rPr/>
      </w:pPr>
      <w:r>
        <w:rPr/>
        <w:t xml:space="preserve">Voss, A., Lvov, I., &amp; Lewis, J. (2012). The small big data manifesto. </w:t>
      </w:r>
      <w:r>
        <w:rPr>
          <w:i/>
        </w:rPr>
        <w:t>Available online at https://smallbigdata.github.io/manifesto.html (last accessed October 26, 2020)</w:t>
      </w:r>
      <w:r>
        <w:rPr/>
        <w:t>.</w:t>
      </w:r>
      <w:bookmarkStart w:id="231" w:name="ref-voss2017small"/>
      <w:bookmarkEnd w:id="231"/>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32" w:name="ref-walny2019data"/>
      <w:bookmarkEnd w:id="232"/>
    </w:p>
    <w:p>
      <w:pPr>
        <w:pStyle w:val="Bibliography"/>
        <w:rPr/>
      </w:pPr>
      <w:r>
        <w:rPr/>
        <w:t xml:space="preserve">Wamba, S. F., Akter, S., Edwards, A., Chopin, G., &amp; Gnanzou, D. (2015). How ‘big data’can make big impact: Findings from a systematic review and a longitudinal case study. </w:t>
      </w:r>
      <w:r>
        <w:rPr>
          <w:i/>
        </w:rPr>
        <w:t>International Journal of Production Economics</w:t>
      </w:r>
      <w:r>
        <w:rPr/>
        <w:t xml:space="preserve">, </w:t>
      </w:r>
      <w:r>
        <w:rPr>
          <w:i/>
        </w:rPr>
        <w:t>165</w:t>
      </w:r>
      <w:r>
        <w:rPr/>
        <w:t>, 234–246. Elsevier.</w:t>
      </w:r>
      <w:bookmarkStart w:id="233" w:name="ref-wamba2015big"/>
      <w:bookmarkEnd w:id="233"/>
    </w:p>
    <w:p>
      <w:pPr>
        <w:pStyle w:val="Bibliography"/>
        <w:rPr/>
      </w:pPr>
      <w:r>
        <w:rPr/>
        <w:t xml:space="preserve">Weckmüller, Dominik. (2019).  Using HyperLogLog with Leaflet-Hexbins. </w:t>
      </w:r>
      <w:hyperlink r:id="rId70">
        <w:r>
          <w:rPr>
            <w:rStyle w:val="InternetLink"/>
          </w:rPr>
          <w:t>https://geo.rocks/post/hexbins-js-hll/</w:t>
        </w:r>
      </w:hyperlink>
      <w:r>
        <w:rPr/>
        <w:t>.</w:t>
      </w:r>
      <w:bookmarkStart w:id="234" w:name="ref-weckmuller2019hyper"/>
      <w:bookmarkEnd w:id="234"/>
    </w:p>
    <w:p>
      <w:pPr>
        <w:pStyle w:val="Bibliography"/>
        <w:rPr/>
      </w:pPr>
      <w:r>
        <w:rPr/>
        <w:t xml:space="preserve">West, G. (2013). Big data needs a big theory to go with it. </w:t>
      </w:r>
      <w:r>
        <w:rPr>
          <w:i/>
        </w:rPr>
        <w:t>Scientific American, May</w:t>
      </w:r>
      <w:r>
        <w:rPr/>
        <w:t xml:space="preserve">, </w:t>
      </w:r>
      <w:r>
        <w:rPr>
          <w:i/>
        </w:rPr>
        <w:t>15</w:t>
      </w:r>
      <w:r>
        <w:rPr/>
        <w:t>.</w:t>
      </w:r>
      <w:bookmarkStart w:id="235" w:name="ref-west2013big"/>
      <w:bookmarkEnd w:id="235"/>
    </w:p>
    <w:p>
      <w:pPr>
        <w:pStyle w:val="Bibliography"/>
        <w:rPr/>
      </w:pPr>
      <w:r>
        <w:rPr/>
        <w:t xml:space="preserve">Widman, J. (2014). When new relic says “data helps,” we’re saying it right. </w:t>
      </w:r>
      <w:r>
        <w:rPr>
          <w:i/>
        </w:rPr>
        <w:t>Available online at https://blog.newrelic.com/culture/data-is-vs-data-are/ (last accessed September 26, 2018)</w:t>
      </w:r>
      <w:r>
        <w:rPr/>
        <w:t>.</w:t>
      </w:r>
      <w:bookmarkStart w:id="236" w:name="ref-widman2014when"/>
      <w:bookmarkEnd w:id="236"/>
    </w:p>
    <w:p>
      <w:pPr>
        <w:pStyle w:val="Bibliography"/>
        <w:rPr/>
      </w:pPr>
      <w:r>
        <w:rPr/>
        <w:t>Willenskomer, I. (2017). Creating usability with motion: The ux in motion manifesto. Retrieved.</w:t>
      </w:r>
      <w:bookmarkStart w:id="237" w:name="ref-willenskomer2017creating"/>
      <w:bookmarkEnd w:id="237"/>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38" w:name="ref-wilson2017big"/>
      <w:bookmarkEnd w:id="238"/>
    </w:p>
    <w:p>
      <w:pPr>
        <w:pStyle w:val="Bibliography"/>
        <w:rPr/>
      </w:pPr>
      <w:r>
        <w:rPr/>
        <w:t>Woodruff, A. (2015). Blindfolded cartography.</w:t>
      </w:r>
      <w:bookmarkStart w:id="239" w:name="ref-woodruff2015blindfolded"/>
      <w:bookmarkEnd w:id="239"/>
    </w:p>
    <w:p>
      <w:pPr>
        <w:pStyle w:val="Bibliography"/>
        <w:rPr/>
      </w:pPr>
      <w:r>
        <w:rPr/>
        <w:t xml:space="preserve">Worboys, M. F., &amp; Duckham, M. (2004). </w:t>
      </w:r>
      <w:r>
        <w:rPr>
          <w:i/>
        </w:rPr>
        <w:t>GIS: A computing perspective</w:t>
      </w:r>
      <w:r>
        <w:rPr/>
        <w:t>. CRC press.</w:t>
      </w:r>
      <w:bookmarkStart w:id="240" w:name="ref-worboys2004gis"/>
      <w:bookmarkEnd w:id="240"/>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41" w:name="ref-yao2018big"/>
      <w:bookmarkEnd w:id="241"/>
    </w:p>
    <w:p>
      <w:pPr>
        <w:pStyle w:val="Bibliography"/>
        <w:spacing w:before="0" w:after="200"/>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sectPr>
      <w:footerReference w:type="default" r:id="rId71"/>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Throughout the text we will treat the term as plural, without capitalization. Although there are strong arguments for “data”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3">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4">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5">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6">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7">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8">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19">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0">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1">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2">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3">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4">
    <w:p>
      <w:pPr>
        <w:pStyle w:val="Footnote"/>
        <w:bidi w:val="0"/>
        <w:spacing w:before="0" w:after="200"/>
        <w:rPr/>
      </w:pPr>
      <w:r>
        <w:rPr>
          <w:rStyle w:val="FootnoteCharacters"/>
        </w:rPr>
        <w:footnoteRef/>
      </w:r>
      <w:r>
        <w:rPr/>
        <w:t xml:space="preserve"> </w:t>
      </w:r>
      <w:r>
        <w:rPr/>
        <w:t>See Urban (2013) for a visualisation of perspectives changing with time frame</w:t>
      </w:r>
    </w:p>
  </w:footnote>
  <w:footnote w:id="25">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6">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7">
    <w:p>
      <w:pPr>
        <w:pStyle w:val="Footnote"/>
        <w:bidi w:val="0"/>
        <w:spacing w:before="0" w:after="200"/>
        <w:rPr/>
      </w:pPr>
      <w:r>
        <w:rPr>
          <w:rStyle w:val="FootnoteCharacters"/>
        </w:rPr>
        <w:footnoteRef/>
      </w:r>
      <w:r>
        <w:rPr/>
        <w:t xml:space="preserve"> </w:t>
      </w:r>
      <w:r>
        <w:rPr/>
        <w:t>International Cartographic Association</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that is not being widely used in the context of web maps</w:t>
      </w:r>
    </w:p>
  </w:footnote>
  <w:footnote w:id="31">
    <w:p>
      <w:pPr>
        <w:pStyle w:val="Footnote"/>
        <w:bidi w:val="0"/>
        <w:spacing w:before="0" w:after="200"/>
        <w:rPr/>
      </w:pPr>
      <w:r>
        <w:rPr>
          <w:rStyle w:val="FootnoteCharacters"/>
        </w:rPr>
        <w:footnoteRef/>
      </w:r>
      <w:r>
        <w:rPr/>
        <w:t xml:space="preserve"> </w:t>
      </w:r>
      <w:r>
        <w:rPr/>
        <w:t xml:space="preserve">Though in pure SVG it is possible to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w:t>
      </w:r>
      <w:hyperlink r:id="rId8">
        <w:r>
          <w:rPr>
            <w:rStyle w:val="InternetLink"/>
          </w:rPr>
          <w:t>https://css-tricks.com/weighing-svg-animation-techniques-benchmarks/</w:t>
        </w:r>
      </w:hyperlink>
      <w:r>
        <w:rPr/>
        <w:t xml:space="preserve"> for performance comparison</w:t>
      </w:r>
    </w:p>
  </w:footnote>
  <w:footnote w:id="35">
    <w:p>
      <w:pPr>
        <w:pStyle w:val="Footnote"/>
        <w:bidi w:val="0"/>
        <w:spacing w:before="0" w:after="200"/>
        <w:rPr/>
      </w:pPr>
      <w:r>
        <w:rPr>
          <w:rStyle w:val="FootnoteCharacters"/>
        </w:rPr>
        <w:footnoteRef/>
      </w:r>
      <w:r>
        <w:rPr/>
        <w:t xml:space="preserve"> </w:t>
      </w:r>
      <w:r>
        <w:rPr/>
        <w:t>https://developer.mozilla.org/en-US/docs/Web/API/Canvas_API</w:t>
      </w:r>
    </w:p>
  </w:footnote>
  <w:footnote w:id="36">
    <w:p>
      <w:pPr>
        <w:pStyle w:val="Footnote"/>
        <w:bidi w:val="0"/>
        <w:spacing w:before="0" w:after="200"/>
        <w:rPr/>
      </w:pPr>
      <w:r>
        <w:rPr>
          <w:rStyle w:val="FootnoteCharacters"/>
        </w:rPr>
        <w:footnoteRef/>
      </w:r>
      <w:r>
        <w:rPr/>
        <w:t xml:space="preserve"> </w:t>
      </w:r>
      <w:r>
        <w:rPr/>
        <w:t>https://en.wikipedia.org/wiki/Immediate_mode_(computer_graphics)</w:t>
      </w:r>
    </w:p>
  </w:footnote>
  <w:footnote w:id="37">
    <w:p>
      <w:pPr>
        <w:pStyle w:val="Footnote"/>
        <w:bidi w:val="0"/>
        <w:spacing w:before="0" w:after="200"/>
        <w:rPr/>
      </w:pPr>
      <w:r>
        <w:rPr>
          <w:rStyle w:val="FootnoteCharacters"/>
        </w:rPr>
        <w:footnoteRef/>
      </w:r>
      <w:r>
        <w:rPr/>
        <w:t xml:space="preserve">  </w:t>
      </w:r>
      <w:r>
        <w:rPr/>
        <w:t>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38">
    <w:p>
      <w:pPr>
        <w:pStyle w:val="Footnote"/>
        <w:bidi w:val="0"/>
        <w:spacing w:before="0" w:after="200"/>
        <w:rPr/>
      </w:pPr>
      <w:r>
        <w:rPr>
          <w:rStyle w:val="FootnoteCharacters"/>
        </w:rPr>
        <w:footnoteRef/>
      </w:r>
      <w:r>
        <w:rPr/>
        <w:t xml:space="preserve"> </w:t>
      </w:r>
      <w:r>
        <w:rPr/>
        <w:t>https://developer.mozilla.org/en-US/docs/Web/API/WebGL_API</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  Escoffier, Erik (2017)</w:t>
      </w:r>
    </w:p>
  </w:footnote>
  <w:footnote w:id="40">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41">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reasterization, we omit them for brevity.</w:t>
      </w:r>
    </w:p>
  </w:footnote>
  <w:footnote w:id="42">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43">
    <w:p>
      <w:pPr>
        <w:pStyle w:val="Footnote"/>
        <w:bidi w:val="0"/>
        <w:spacing w:before="0" w:after="200"/>
        <w:rPr/>
      </w:pPr>
      <w:r>
        <w:rPr>
          <w:rStyle w:val="FootnoteCharacters"/>
        </w:rPr>
        <w:footnoteRef/>
      </w:r>
      <w:r>
        <w:rPr/>
        <w:t xml:space="preserve"> </w:t>
      </w:r>
      <w:r>
        <w:rPr/>
        <w:t>Implementing such wrapper toolkits is made possible thanks to the performance increase in web browsers’ JavaScript virtual machines (VMs)</w:t>
      </w:r>
    </w:p>
  </w:footnote>
  <w:footnote w:id="44">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5">
    <w:p>
      <w:pPr>
        <w:pStyle w:val="Footnote"/>
        <w:bidi w:val="0"/>
        <w:spacing w:before="0" w:after="200"/>
        <w:rPr/>
      </w:pPr>
      <w:r>
        <w:rPr>
          <w:rStyle w:val="FootnoteCharacters"/>
        </w:rPr>
        <w:footnoteRef/>
      </w:r>
      <w:r>
        <w:rPr/>
        <w:t xml:space="preserve"> </w:t>
      </w:r>
      <w:r>
        <w:rPr/>
        <w:t xml:space="preserve">If we exclude fiddling with CSS and Canvas filters like in </w:t>
      </w:r>
      <w:hyperlink r:id="rId9">
        <w:r>
          <w:rPr>
            <w:rStyle w:val="InternetLink"/>
          </w:rPr>
          <w:t>http://humangeo.github.io/leaflet-tilefilter/demo.html</w:t>
        </w:r>
      </w:hyperlink>
    </w:p>
  </w:footnote>
  <w:footnote w:id="46">
    <w:p>
      <w:pPr>
        <w:pStyle w:val="Footnote"/>
        <w:bidi w:val="0"/>
        <w:spacing w:before="0" w:after="200"/>
        <w:rPr/>
      </w:pPr>
      <w:r>
        <w:rPr>
          <w:rStyle w:val="FootnoteCharacters"/>
        </w:rPr>
        <w:footnoteRef/>
      </w:r>
      <w:r>
        <w:rPr/>
        <w:t xml:space="preserve"> </w:t>
      </w:r>
      <w:r>
        <w:rPr/>
        <w:t xml:space="preserve">For continuously updated overview see </w:t>
      </w:r>
      <w:hyperlink r:id="rId10">
        <w:r>
          <w:rPr>
            <w:rStyle w:val="InternetLink"/>
          </w:rPr>
          <w:t>https://leaflet-extras.github.io/leaflet-providers/preview/</w:t>
        </w:r>
      </w:hyperlink>
    </w:p>
  </w:footnote>
  <w:footnote w:id="47">
    <w:p>
      <w:pPr>
        <w:pStyle w:val="Footnote"/>
        <w:bidi w:val="0"/>
        <w:spacing w:before="0" w:after="200"/>
        <w:rPr/>
      </w:pPr>
      <w:r>
        <w:rPr>
          <w:rStyle w:val="FootnoteCharacters"/>
        </w:rPr>
        <w:footnoteRef/>
      </w:r>
      <w:r>
        <w:rPr/>
        <w:t xml:space="preserve"> </w:t>
      </w:r>
      <w:r>
        <w:rPr/>
        <w:t xml:space="preserve">For details see </w:t>
      </w:r>
      <w:r>
        <w:fldChar w:fldCharType="begin"/>
      </w:r>
      <w:r>
        <w:rPr>
          <w:rStyle w:val="InternetLink"/>
        </w:rPr>
        <w:instrText> HYPERLINK "https://docs.mapbox.com/vector-tiles/specification/" \l "encoding-geometry"</w:instrText>
      </w:r>
      <w:r>
        <w:rPr>
          <w:rStyle w:val="InternetLink"/>
        </w:rPr>
        <w:fldChar w:fldCharType="separate"/>
      </w:r>
      <w:r>
        <w:rPr>
          <w:rStyle w:val="InternetLink"/>
        </w:rPr>
        <w:t>https://docs.mapbox.com/vector-tiles/specification/#encoding-geometry</w:t>
      </w:r>
      <w:r>
        <w:rPr>
          <w:rStyle w:val="InternetLink"/>
        </w:rPr>
        <w:fldChar w:fldCharType="end"/>
      </w:r>
    </w:p>
  </w:footnote>
  <w:footnote w:id="48">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9">
    <w:p>
      <w:pPr>
        <w:pStyle w:val="Footnote"/>
        <w:bidi w:val="0"/>
        <w:spacing w:before="0" w:after="200"/>
        <w:rPr/>
      </w:pPr>
      <w:r>
        <w:rPr>
          <w:rStyle w:val="FootnoteCharacters"/>
        </w:rPr>
        <w:footnoteRef/>
      </w:r>
      <w:r>
        <w:rPr/>
        <w:t xml:space="preserve"> </w:t>
      </w:r>
      <w:r>
        <w:rPr/>
        <w:t xml:space="preserve">To dive deeper into vector tile schema definition and the internal structure see </w:t>
      </w:r>
      <w:r>
        <w:fldChar w:fldCharType="begin"/>
      </w:r>
      <w:r>
        <w:rPr>
          <w:rStyle w:val="InternetLink"/>
        </w:rPr>
        <w:instrText> HYPERLINK "https://github.com/mapbox/vector-tile-spec/tree/master/2.1" \l "4-internal-structure"</w:instrText>
      </w:r>
      <w:r>
        <w:rPr>
          <w:rStyle w:val="InternetLink"/>
        </w:rPr>
        <w:fldChar w:fldCharType="separate"/>
      </w:r>
      <w:r>
        <w:rPr>
          <w:rStyle w:val="InternetLink"/>
        </w:rPr>
        <w:t>https://github.com/mapbox/vector-tile-spec/tree/master/2.1#4-internal-structure</w:t>
      </w:r>
      <w:r>
        <w:rPr>
          <w:rStyle w:val="InternetLink"/>
        </w:rPr>
        <w:fldChar w:fldCharType="end"/>
      </w:r>
    </w:p>
  </w:footnote>
  <w:footnote w:id="50">
    <w:p>
      <w:pPr>
        <w:pStyle w:val="Footnote"/>
        <w:bidi w:val="0"/>
        <w:spacing w:before="0" w:after="200"/>
        <w:rPr/>
      </w:pPr>
      <w:r>
        <w:rPr>
          <w:rStyle w:val="FootnoteCharacters"/>
        </w:rPr>
        <w:footnoteRef/>
      </w:r>
      <w:r>
        <w:rPr/>
        <w:t xml:space="preserve"> </w:t>
      </w:r>
      <w:r>
        <w:rPr/>
        <w:t xml:space="preserve">There are several concurrent implementations for each of theses groups, for an updated overview see </w:t>
      </w:r>
      <w:hyperlink r:id="rId11">
        <w:r>
          <w:rPr>
            <w:rStyle w:val="InternetLink"/>
          </w:rPr>
          <w:t>https://github.com/mapbox/awesome-vector-tiles</w:t>
        </w:r>
      </w:hyperlink>
    </w:p>
  </w:footnote>
  <w:footnote w:id="51">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functional, aesthetic and economic value of quality cartography.</w:t>
      </w:r>
    </w:p>
  </w:footnote>
  <w:footnote w:id="52">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53">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54">
    <w:p>
      <w:pPr>
        <w:pStyle w:val="Footnote"/>
        <w:bidi w:val="0"/>
        <w:spacing w:before="0" w:after="200"/>
        <w:rPr/>
      </w:pPr>
      <w:r>
        <w:rPr>
          <w:rStyle w:val="FootnoteCharacters"/>
        </w:rPr>
        <w:footnoteRef/>
      </w:r>
      <w:r>
        <w:rPr/>
        <w:t xml:space="preserve"> </w:t>
      </w:r>
      <w:r>
        <w:rPr/>
        <w:t>Live demo of the application is accessible at &lt;pondrejk.eu/hex&gt;, screenshots of the interface can be found in Appendix B.</w:t>
      </w:r>
    </w:p>
  </w:footnote>
  <w:footnote w:id="55">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6">
    <w:p>
      <w:pPr>
        <w:pStyle w:val="Footnote"/>
        <w:bidi w:val="0"/>
        <w:spacing w:before="0" w:after="200"/>
        <w:rPr/>
      </w:pPr>
      <w:r>
        <w:rPr>
          <w:rStyle w:val="FootnoteCharacters"/>
        </w:rPr>
        <w:footnoteRef/>
      </w:r>
      <w:r>
        <w:rPr/>
        <w:t xml:space="preserve"> </w:t>
      </w:r>
      <w:hyperlink r:id="rId14">
        <w:r>
          <w:rPr>
            <w:rStyle w:val="InternetLink"/>
          </w:rPr>
          <w:t>https://mapakriminality.cz</w:t>
        </w:r>
      </w:hyperlink>
    </w:p>
  </w:footnote>
  <w:footnote w:id="57">
    <w:p>
      <w:pPr>
        <w:pStyle w:val="Footnote"/>
        <w:bidi w:val="0"/>
        <w:spacing w:before="0" w:after="200"/>
        <w:rPr/>
      </w:pPr>
      <w:r>
        <w:rPr>
          <w:rStyle w:val="FootnoteCharacters"/>
        </w:rPr>
        <w:footnoteRef/>
      </w:r>
      <w:r>
        <w:rPr/>
        <w:t xml:space="preserve"> </w:t>
      </w:r>
      <w:hyperlink r:id="rId15">
        <w:r>
          <w:rPr>
            <w:rStyle w:val="InternetLink"/>
          </w:rPr>
          <w:t>https://www.brno.cz/sprava-mesta/magistrat-mesta-brna/usek-1-namestka-primatorky/odbor-uzemniho-planovani-a-rozvoje/dokumenty/upp/hlukova-mapa/zobrazeni-hlukove-mapy-denni-doba/</w:t>
        </w:r>
      </w:hyperlink>
    </w:p>
  </w:footnote>
  <w:footnote w:id="58">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9">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60">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61">
    <w:p>
      <w:pPr>
        <w:pStyle w:val="Footnote"/>
        <w:bidi w:val="0"/>
        <w:spacing w:before="0" w:after="200"/>
        <w:rPr/>
      </w:pPr>
      <w:r>
        <w:rPr>
          <w:rStyle w:val="FootnoteCharacters"/>
        </w:rPr>
        <w:footnoteRef/>
      </w:r>
      <w:r>
        <w:rPr/>
        <w:t xml:space="preserve"> </w:t>
      </w:r>
      <w:r>
        <w:rPr/>
        <w:t>The author would like to thank Mapbox, Inc. for generously providing the traffic data sample for the purpose of this case study.</w:t>
      </w:r>
    </w:p>
  </w:footnote>
  <w:footnote w:id="62">
    <w:p>
      <w:pPr>
        <w:pStyle w:val="Footnote"/>
        <w:bidi w:val="0"/>
        <w:spacing w:before="0" w:after="200"/>
        <w:rPr/>
      </w:pPr>
      <w:r>
        <w:rPr>
          <w:rStyle w:val="FootnoteCharacters"/>
        </w:rPr>
        <w:footnoteRef/>
      </w:r>
      <w:r>
        <w:rPr/>
        <w:t xml:space="preserve"> </w:t>
      </w:r>
      <w:r>
        <w:rPr/>
        <w:t>Live demo of the application is accessible at &lt;pondrejk.eu/traffic&gt;, screenshots of the interface can be found in Appendix C.</w:t>
      </w:r>
    </w:p>
  </w:footnote>
  <w:footnote w:id="63">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7">
        <w:r>
          <w:rPr>
            <w:rStyle w:val="InternetLink"/>
          </w:rPr>
          <w:t>https://docs.mapbox.com/traffic-data/overview/data/</w:t>
        </w:r>
      </w:hyperlink>
    </w:p>
  </w:footnote>
  <w:footnote w:id="64">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8">
        <w:r>
          <w:rPr>
            <w:rStyle w:val="InternetLink"/>
          </w:rPr>
          <w:t>https://www.postgresql.org/docs/current/limits.html</w:t>
        </w:r>
      </w:hyperlink>
      <w:r>
        <w:rPr/>
        <w:t xml:space="preserve"> for the overview of PostgreSQL limits</w:t>
      </w:r>
    </w:p>
  </w:footnote>
  <w:footnote w:id="65">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19">
        <w:r>
          <w:rPr>
            <w:rStyle w:val="InternetLink"/>
          </w:rPr>
          <w:t>https://github.com/pondrejk/dizzer/blob/master/misc/scripts/01-get_unique_nodes.py</w:t>
        </w:r>
      </w:hyperlink>
    </w:p>
  </w:footnote>
  <w:footnote w:id="66">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0">
        <w:r>
          <w:rPr>
            <w:rStyle w:val="InternetLink"/>
          </w:rPr>
          <w:t>https://github.com/pondrejk/dizzer/blob/master/misc/scripts/02-get_node_coordinates.py</w:t>
        </w:r>
      </w:hyperlink>
    </w:p>
  </w:footnote>
  <w:footnote w:id="67">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1">
        <w:r>
          <w:rPr>
            <w:rStyle w:val="InternetLink"/>
          </w:rPr>
          <w:t>https://github.com/pondrejk/dizzer/blob/master/misc/scripts/03-select_segments.py</w:t>
        </w:r>
      </w:hyperlink>
    </w:p>
  </w:footnote>
  <w:footnote w:id="68">
    <w:p>
      <w:pPr>
        <w:pStyle w:val="Footnote"/>
        <w:bidi w:val="0"/>
        <w:spacing w:before="0" w:after="200"/>
        <w:rPr/>
      </w:pPr>
      <w:r>
        <w:rPr>
          <w:rStyle w:val="FootnoteCharacters"/>
        </w:rPr>
        <w:footnoteRef/>
      </w:r>
      <w:r>
        <w:rPr/>
        <w:t xml:space="preserve"> </w:t>
      </w:r>
      <w:r>
        <w:rPr/>
        <w:t xml:space="preserve">Using this Python script </w:t>
      </w:r>
      <w:hyperlink r:id="rId22">
        <w:r>
          <w:rPr>
            <w:rStyle w:val="InternetLink"/>
          </w:rPr>
          <w:t>https://github.com/pondrejk/dizzer/blob/master/misc/scripts/04-split_by_day.py</w:t>
        </w:r>
      </w:hyperlink>
    </w:p>
  </w:footnote>
  <w:footnote w:id="69">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3">
        <w:r>
          <w:rPr>
            <w:rStyle w:val="InternetLink"/>
          </w:rPr>
          <w:t>https://github.com/pondrejk/dizzer/blob/master/misc/queries/</w:t>
        </w:r>
      </w:hyperlink>
    </w:p>
  </w:footnote>
  <w:footnote w:id="70">
    <w:p>
      <w:pPr>
        <w:pStyle w:val="Footnote"/>
        <w:bidi w:val="0"/>
        <w:spacing w:before="0" w:after="200"/>
        <w:rPr/>
      </w:pPr>
      <w:r>
        <w:rPr>
          <w:rStyle w:val="FootnoteCharacters"/>
        </w:rPr>
        <w:footnoteRef/>
      </w:r>
      <w:r>
        <w:rPr/>
        <w:t xml:space="preserve"> </w:t>
      </w:r>
      <w:hyperlink r:id="rId24">
        <w:r>
          <w:rPr>
            <w:rStyle w:val="InternetLink"/>
          </w:rPr>
          <w:t>https://github.com/mapbox/tippecanoe</w:t>
        </w:r>
      </w:hyperlink>
    </w:p>
  </w:footnote>
  <w:footnote w:id="71">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72">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6"/>
    <w:lvlOverride w:ilvl="0">
      <w:startOverride w:val="1"/>
    </w:lvlOverride>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bering>
</file>

<file path=word/settings.xml><?xml version="1.0" encoding="utf-8"?>
<w:settings xmlns:w="http://schemas.openxmlformats.org/wordprocessingml/2006/main">
  <w:zoom w:percent="9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hyperlink" Target="https://tinlizzie.org/spatial/" TargetMode="External"/><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yperlink" Target="http://docs.opengeospatial.org/per/" TargetMode="External"/><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hyperlink" Target="https://www.toptal.com/javascript/3d-graphics-a-webgl-tutorial" TargetMode="External"/><Relationship Id="rId57" Type="http://schemas.openxmlformats.org/officeDocument/2006/relationships/hyperlink" Target="https://blog.mapbox.com/clustering-millions-of-points-on-a-map-with-supercluster-272046ec5c97" TargetMode="External"/><Relationship Id="rId58" Type="http://schemas.openxmlformats.org/officeDocument/2006/relationships/hyperlink" Target="https://blog.mapbox.com/how-i-built-a-wind-map-with-webgl-b63022b5537f" TargetMode="External"/><Relationship Id="rId59" Type="http://schemas.openxmlformats.org/officeDocument/2006/relationships/hyperlink" Target="https://blog.scottlogic.com/2020/05/01/rendering-one-million-points-with-d3.html" TargetMode="External"/><Relationship Id="rId60" Type="http://schemas.openxmlformats.org/officeDocument/2006/relationships/hyperlink" Target="https://medium.com/vizzuality-blog/saving-the-with-how-we-used-webgl-and-pixi-js-for-temporal-mapping-2cffaed60b91" TargetMode="External"/><Relationship Id="rId61" Type="http://schemas.openxmlformats.org/officeDocument/2006/relationships/hyperlink" Target="https://www.idc.com/getdoc.jsp?containerId=prUS46286020" TargetMode="External"/><Relationship Id="rId62" Type="http://schemas.openxmlformats.org/officeDocument/2006/relationships/hyperlink" Target="https://github.com/adammertel/Leaflet.MarkerCluster.PlacementStrategies" TargetMode="External"/><Relationship Id="rId63" Type="http://schemas.openxmlformats.org/officeDocument/2006/relationships/hyperlink" Target="https://cran.r-project.org/web/packages/hextri/vignettes/hexbin-classes.html" TargetMode="External"/><Relationship Id="rId64" Type="http://schemas.openxmlformats.org/officeDocument/2006/relationships/hyperlink" Target="https://github.com/adammertel/Leaflet.MarkerCluster.PlacementStrategies" TargetMode="External"/><Relationship Id="rId65" Type="http://schemas.openxmlformats.org/officeDocument/2006/relationships/hyperlink" Target="https://github.com/adammertel/Leaflet.RegularGridCluster" TargetMode="External"/><Relationship Id="rId66" Type="http://schemas.openxmlformats.org/officeDocument/2006/relationships/hyperlink" Target="http://fragmentbuffer.com/gpu-performance-for-game-artists/" TargetMode="External"/><Relationship Id="rId67" Type="http://schemas.openxmlformats.org/officeDocument/2006/relationships/hyperlink" Target="https://regionbound.com/region-aware-marker-clustering-for-maps" TargetMode="External"/><Relationship Id="rId68" Type="http://schemas.openxmlformats.org/officeDocument/2006/relationships/hyperlink" Target="https://www.nytimes.com/interactive/2019/12/19/opinion/location-tracking-cell-phone.html" TargetMode="External"/><Relationship Id="rId69" Type="http://schemas.openxmlformats.org/officeDocument/2006/relationships/hyperlink" Target="https://waitbutwhy.com/2013/08/putting-time-in-perspective.html" TargetMode="External"/><Relationship Id="rId70" Type="http://schemas.openxmlformats.org/officeDocument/2006/relationships/hyperlink" Target="https://geo.rocks/post/hexbins-js-hll/" TargetMode="External"/><Relationship Id="rId71" Type="http://schemas.openxmlformats.org/officeDocument/2006/relationships/footer" Target="footer1.xml"/><Relationship Id="rId72" Type="http://schemas.openxmlformats.org/officeDocument/2006/relationships/footnotes" Target="footnotes.xml"/><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Relationship Id="rId76"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s://css-tricks.com/weighing-svg-animation-techniques-benchmarks/" TargetMode="External"/><Relationship Id="rId9" Type="http://schemas.openxmlformats.org/officeDocument/2006/relationships/hyperlink" Target="http://humangeo.github.io/leaflet-tilefilter/demo.html" TargetMode="External"/><Relationship Id="rId10" Type="http://schemas.openxmlformats.org/officeDocument/2006/relationships/hyperlink" Target="https://leaflet-extras.github.io/leaflet-providers/preview/" TargetMode="External"/><Relationship Id="rId11" Type="http://schemas.openxmlformats.org/officeDocument/2006/relationships/hyperlink" Target="https://github.com/mapbox/awesome-vector-tiles"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mapakriminality.cz/" TargetMode="External"/><Relationship Id="rId15" Type="http://schemas.openxmlformats.org/officeDocument/2006/relationships/hyperlink" Target="https://www.brno.cz/sprava-mesta/magistrat-mesta-brna/usek-1-namestka-primatorky/odbor-uzemniho-planovani-a-rozvoje/dokumenty/upp/hlukova-mapa/zobrazeni-hlukove-mapy-denni-doba/" TargetMode="External"/><Relationship Id="rId16" Type="http://schemas.openxmlformats.org/officeDocument/2006/relationships/hyperlink" Target="https://tegola.io/" TargetMode="External"/><Relationship Id="rId17" Type="http://schemas.openxmlformats.org/officeDocument/2006/relationships/hyperlink" Target="https://docs.mapbox.com/traffic-data/overview/data/" TargetMode="External"/><Relationship Id="rId18" Type="http://schemas.openxmlformats.org/officeDocument/2006/relationships/hyperlink" Target="https://www.postgresql.org/docs/current/limits.html" TargetMode="External"/><Relationship Id="rId19" Type="http://schemas.openxmlformats.org/officeDocument/2006/relationships/hyperlink" Target="https://github.com/pondrejk/dizzer/blob/master/misc/scripts/01-get_unique_nodes.py" TargetMode="External"/><Relationship Id="rId20" Type="http://schemas.openxmlformats.org/officeDocument/2006/relationships/hyperlink" Target="https://github.com/pondrejk/dizzer/blob/master/misc/scripts/02-get_node_coordinates.py" TargetMode="External"/><Relationship Id="rId21" Type="http://schemas.openxmlformats.org/officeDocument/2006/relationships/hyperlink" Target="https://github.com/pondrejk/dizzer/blob/master/misc/scripts/03-select_segments.py" TargetMode="External"/><Relationship Id="rId22" Type="http://schemas.openxmlformats.org/officeDocument/2006/relationships/hyperlink" Target="https://github.com/pondrejk/dizzer/blob/master/misc/scripts/04-split_by_day.py" TargetMode="External"/><Relationship Id="rId23" Type="http://schemas.openxmlformats.org/officeDocument/2006/relationships/hyperlink" Target="https://github.com/pondrejk/dizzer/blob/master/misc/queries/" TargetMode="External"/><Relationship Id="rId24" Type="http://schemas.openxmlformats.org/officeDocument/2006/relationships/hyperlink" Target="https://github.com/mapbox/tippecanoe"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Application>LibreOffice/7.0.6.2$Linux_X86_64 LibreOffice_project/00$Build-2</Application>
  <AppVersion>15.0000</AppVersion>
  <Pages>175</Pages>
  <Words>41869</Words>
  <Characters>230248</Characters>
  <CharactersWithSpaces>271264</CharactersWithSpaces>
  <Paragraphs>922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2021-08-16T21:32:34Z</dcterms:created>
  <dc:creator/>
  <dc:description/>
  <dc:language>en-US</dc:language>
  <cp:lastModifiedBy/>
  <dcterms:modified xsi:type="dcterms:W3CDTF">2021-08-16T23:35:07Z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